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48" w:type="dxa"/>
        <w:tblLook w:val="04A0" w:firstRow="1" w:lastRow="0" w:firstColumn="1" w:lastColumn="0" w:noHBand="0" w:noVBand="1"/>
      </w:tblPr>
      <w:tblGrid>
        <w:gridCol w:w="1035"/>
        <w:gridCol w:w="1850"/>
        <w:gridCol w:w="1556"/>
        <w:gridCol w:w="1258"/>
        <w:gridCol w:w="713"/>
        <w:gridCol w:w="1289"/>
        <w:gridCol w:w="713"/>
        <w:gridCol w:w="2253"/>
        <w:gridCol w:w="3281"/>
      </w:tblGrid>
      <w:tr w:rsidR="00093128" w14:paraId="18CCC9BD" w14:textId="77777777" w:rsidTr="514687D8">
        <w:tc>
          <w:tcPr>
            <w:tcW w:w="10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40A7" w14:textId="40D2BC2D" w:rsidR="00093128" w:rsidRPr="000B55FC" w:rsidRDefault="00BA7502" w:rsidP="000B7A5C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312D" w14:textId="77777777" w:rsidR="00093128" w:rsidRPr="000B55FC" w:rsidRDefault="00093128" w:rsidP="000B7A5C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8016" w14:textId="77777777" w:rsidR="00093128" w:rsidRPr="000B55FC" w:rsidRDefault="00093128" w:rsidP="000B7A5C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A5AE" w14:textId="77777777" w:rsidR="00093128" w:rsidRPr="000B55FC" w:rsidRDefault="00093128" w:rsidP="000B7A5C">
            <w:pPr>
              <w:jc w:val="center"/>
              <w:rPr>
                <w:b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EE50" w14:textId="77777777" w:rsidR="00093128" w:rsidRPr="000B55FC" w:rsidRDefault="00093128" w:rsidP="000B7A5C">
            <w:pPr>
              <w:jc w:val="center"/>
              <w:rPr>
                <w:b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2E55" w14:textId="77777777" w:rsidR="00093128" w:rsidRPr="000B55FC" w:rsidRDefault="00093128" w:rsidP="000B7A5C">
            <w:pPr>
              <w:jc w:val="center"/>
              <w:rPr>
                <w:b/>
                <w:bCs/>
              </w:rPr>
            </w:pPr>
            <w:r w:rsidRPr="40D7922F">
              <w:rPr>
                <w:b/>
                <w:bCs/>
              </w:rPr>
              <w:t>Timescales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405C" w14:textId="77777777" w:rsidR="00093128" w:rsidRPr="000B55FC" w:rsidRDefault="00093128" w:rsidP="000B7A5C">
            <w:pPr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B5DA" w14:textId="77777777" w:rsidR="00093128" w:rsidRPr="00C9676D" w:rsidRDefault="00093128" w:rsidP="000B7A5C"/>
        </w:tc>
        <w:tc>
          <w:tcPr>
            <w:tcW w:w="3314" w:type="dxa"/>
            <w:tcBorders>
              <w:left w:val="single" w:sz="4" w:space="0" w:color="auto"/>
              <w:bottom w:val="single" w:sz="4" w:space="0" w:color="auto"/>
            </w:tcBorders>
          </w:tcPr>
          <w:p w14:paraId="69486162" w14:textId="77777777" w:rsidR="00093128" w:rsidRPr="007B7302" w:rsidRDefault="00093128" w:rsidP="000B7A5C">
            <w:pPr>
              <w:rPr>
                <w:b/>
              </w:rPr>
            </w:pPr>
            <w:r w:rsidRPr="007B7302">
              <w:rPr>
                <w:b/>
              </w:rPr>
              <w:t>FUEL POVERTY ACTION PLAN</w:t>
            </w:r>
          </w:p>
        </w:tc>
      </w:tr>
      <w:tr w:rsidR="00093128" w14:paraId="2342EFA5" w14:textId="77777777" w:rsidTr="514687D8"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03642909" w14:textId="77777777" w:rsidR="00093128" w:rsidRPr="00757D24" w:rsidRDefault="00093128" w:rsidP="000B7A5C">
            <w:pPr>
              <w:jc w:val="center"/>
              <w:rPr>
                <w:b/>
                <w:bCs/>
              </w:rPr>
            </w:pPr>
            <w:r w:rsidRPr="00757D24">
              <w:rPr>
                <w:b/>
                <w:bCs/>
              </w:rPr>
              <w:t>Category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3486FBC9" w14:textId="77777777" w:rsidR="00093128" w:rsidRPr="00757D24" w:rsidRDefault="00093128" w:rsidP="000B7A5C">
            <w:pPr>
              <w:jc w:val="center"/>
              <w:rPr>
                <w:b/>
                <w:bCs/>
              </w:rPr>
            </w:pPr>
            <w:r w:rsidRPr="00757D24">
              <w:rPr>
                <w:b/>
                <w:bCs/>
              </w:rPr>
              <w:t>Action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39762CBB" w14:textId="77777777" w:rsidR="00093128" w:rsidRPr="00757D24" w:rsidRDefault="00093128" w:rsidP="000B7A5C">
            <w:pPr>
              <w:jc w:val="center"/>
              <w:rPr>
                <w:b/>
                <w:bCs/>
              </w:rPr>
            </w:pPr>
            <w:r w:rsidRPr="00757D24">
              <w:rPr>
                <w:b/>
                <w:bCs/>
              </w:rPr>
              <w:t>Responsibility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14:paraId="059ECC31" w14:textId="77777777" w:rsidR="00093128" w:rsidRPr="00757D24" w:rsidRDefault="00093128" w:rsidP="000B7A5C">
            <w:pPr>
              <w:jc w:val="center"/>
              <w:rPr>
                <w:b/>
                <w:bCs/>
              </w:rPr>
            </w:pPr>
            <w:r w:rsidRPr="00757D24">
              <w:rPr>
                <w:b/>
                <w:bCs/>
              </w:rPr>
              <w:t>Available to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380C2781" w14:textId="77777777" w:rsidR="00093128" w:rsidRDefault="00093128" w:rsidP="000B7A5C">
            <w:pPr>
              <w:jc w:val="center"/>
            </w:pPr>
            <w:r>
              <w:t>Short</w:t>
            </w:r>
          </w:p>
          <w:p w14:paraId="45544014" w14:textId="77777777" w:rsidR="00093128" w:rsidRDefault="00093128" w:rsidP="000B7A5C">
            <w:pPr>
              <w:jc w:val="center"/>
            </w:pPr>
            <w:r>
              <w:rPr>
                <w:sz w:val="16"/>
              </w:rPr>
              <w:t>1-3 months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4C2B0C4B" w14:textId="77777777" w:rsidR="00093128" w:rsidRDefault="00093128" w:rsidP="000B7A5C">
            <w:pPr>
              <w:jc w:val="center"/>
            </w:pPr>
            <w:r>
              <w:t>Medium</w:t>
            </w:r>
          </w:p>
          <w:p w14:paraId="2A836899" w14:textId="77777777" w:rsidR="00093128" w:rsidRDefault="00093128" w:rsidP="000B7A5C">
            <w:pPr>
              <w:jc w:val="center"/>
            </w:pPr>
            <w:r>
              <w:rPr>
                <w:sz w:val="16"/>
              </w:rPr>
              <w:t>4 - 9 months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0E5076C6" w14:textId="77777777" w:rsidR="00093128" w:rsidRDefault="00093128" w:rsidP="000B7A5C">
            <w:pPr>
              <w:jc w:val="center"/>
            </w:pPr>
            <w:r>
              <w:t>Long</w:t>
            </w:r>
          </w:p>
          <w:p w14:paraId="3FE93E74" w14:textId="77777777" w:rsidR="00093128" w:rsidRDefault="00093128" w:rsidP="000B7A5C">
            <w:pPr>
              <w:jc w:val="center"/>
            </w:pPr>
            <w:r>
              <w:rPr>
                <w:sz w:val="16"/>
              </w:rPr>
              <w:t>9+ months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20DCEA4" w14:textId="77777777" w:rsidR="00093128" w:rsidRPr="00757D24" w:rsidRDefault="00093128" w:rsidP="000B7A5C">
            <w:pPr>
              <w:jc w:val="center"/>
              <w:rPr>
                <w:b/>
                <w:bCs/>
              </w:rPr>
            </w:pPr>
            <w:r w:rsidRPr="4A41743C">
              <w:rPr>
                <w:b/>
                <w:bCs/>
              </w:rPr>
              <w:t>Key themes</w:t>
            </w:r>
          </w:p>
        </w:tc>
        <w:tc>
          <w:tcPr>
            <w:tcW w:w="3314" w:type="dxa"/>
            <w:tcBorders>
              <w:top w:val="single" w:sz="4" w:space="0" w:color="auto"/>
            </w:tcBorders>
          </w:tcPr>
          <w:p w14:paraId="16BD5601" w14:textId="77777777" w:rsidR="00093128" w:rsidRPr="00C9676D" w:rsidRDefault="00093128" w:rsidP="000B7A5C">
            <w:pPr>
              <w:rPr>
                <w:b/>
                <w:bCs/>
                <w:sz w:val="24"/>
                <w:szCs w:val="24"/>
              </w:rPr>
            </w:pPr>
            <w:r w:rsidRPr="4A41743C">
              <w:rPr>
                <w:b/>
                <w:bCs/>
                <w:sz w:val="24"/>
                <w:szCs w:val="24"/>
              </w:rPr>
              <w:t>UPDATE ON ACTIVITY</w:t>
            </w:r>
          </w:p>
          <w:p w14:paraId="7899118B" w14:textId="5C429480" w:rsidR="00093128" w:rsidRPr="00C9676D" w:rsidRDefault="315F12C5" w:rsidP="000B7A5C">
            <w:pPr>
              <w:rPr>
                <w:b/>
                <w:bCs/>
                <w:sz w:val="24"/>
                <w:szCs w:val="24"/>
              </w:rPr>
            </w:pPr>
            <w:r w:rsidRPr="1CDFA546">
              <w:rPr>
                <w:b/>
                <w:bCs/>
                <w:sz w:val="24"/>
                <w:szCs w:val="24"/>
              </w:rPr>
              <w:t>31 March</w:t>
            </w:r>
            <w:r w:rsidR="0783EC3A" w:rsidRPr="1CDFA546">
              <w:rPr>
                <w:b/>
                <w:bCs/>
                <w:sz w:val="24"/>
                <w:szCs w:val="24"/>
              </w:rPr>
              <w:t xml:space="preserve"> 202</w:t>
            </w:r>
            <w:r w:rsidR="04067A73" w:rsidRPr="1CDFA546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093128" w14:paraId="3F797E1A" w14:textId="77777777" w:rsidTr="514687D8"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59F04104" w14:textId="77777777" w:rsidR="00093128" w:rsidRPr="00547D5F" w:rsidRDefault="00093128" w:rsidP="000B7A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47D5F">
              <w:rPr>
                <w:rFonts w:ascii="Calibri" w:hAnsi="Calibri" w:cs="Calibri"/>
                <w:b/>
                <w:bCs/>
                <w:color w:val="000000"/>
              </w:rPr>
              <w:t>Property</w:t>
            </w:r>
          </w:p>
        </w:tc>
        <w:tc>
          <w:tcPr>
            <w:tcW w:w="1857" w:type="dxa"/>
            <w:vAlign w:val="center"/>
          </w:tcPr>
          <w:p w14:paraId="70FB1981" w14:textId="77777777" w:rsidR="00093128" w:rsidRPr="00B30653" w:rsidRDefault="00093128" w:rsidP="000B7A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Order and obtain programme of works for pipeline infrastructure for viable connections</w:t>
            </w:r>
          </w:p>
        </w:tc>
        <w:tc>
          <w:tcPr>
            <w:tcW w:w="1557" w:type="dxa"/>
            <w:vAlign w:val="center"/>
          </w:tcPr>
          <w:p w14:paraId="6C0E6F02" w14:textId="77777777" w:rsidR="00093128" w:rsidRPr="00B30653" w:rsidRDefault="00093128" w:rsidP="000B7A5C">
            <w:pPr>
              <w:jc w:val="center"/>
              <w:rPr>
                <w:rFonts w:cstheme="minorHAnsi"/>
                <w:color w:val="000000"/>
              </w:rPr>
            </w:pPr>
          </w:p>
          <w:p w14:paraId="00C59764" w14:textId="77777777" w:rsidR="00093128" w:rsidRDefault="00093128" w:rsidP="000B7A5C">
            <w:pPr>
              <w:jc w:val="center"/>
            </w:pPr>
            <w:r>
              <w:t>Falkirk Council</w:t>
            </w:r>
          </w:p>
        </w:tc>
        <w:tc>
          <w:tcPr>
            <w:tcW w:w="1262" w:type="dxa"/>
            <w:vAlign w:val="center"/>
          </w:tcPr>
          <w:p w14:paraId="374D8DF4" w14:textId="77777777" w:rsidR="00093128" w:rsidRDefault="00093128" w:rsidP="000B7A5C">
            <w:pPr>
              <w:jc w:val="center"/>
            </w:pPr>
            <w:r>
              <w:t>Falkirk Council Tenants</w:t>
            </w:r>
          </w:p>
        </w:tc>
        <w:tc>
          <w:tcPr>
            <w:tcW w:w="713" w:type="dxa"/>
            <w:shd w:val="clear" w:color="auto" w:fill="C5E0B3" w:themeFill="accent6" w:themeFillTint="66"/>
            <w:vAlign w:val="center"/>
          </w:tcPr>
          <w:p w14:paraId="354B8D14" w14:textId="77777777" w:rsidR="00093128" w:rsidRDefault="00093128" w:rsidP="000B7A5C">
            <w:pPr>
              <w:jc w:val="center"/>
              <w:rPr>
                <w:rFonts w:ascii="Wingdings" w:hAnsi="Wingdings" w:cs="Calibri"/>
                <w:color w:val="000000"/>
                <w:sz w:val="36"/>
                <w:szCs w:val="36"/>
              </w:rPr>
            </w:pPr>
            <w:r>
              <w:rPr>
                <w:rFonts w:ascii="Wingdings" w:hAnsi="Wingdings" w:cs="Calibri"/>
                <w:color w:val="000000"/>
                <w:sz w:val="36"/>
                <w:szCs w:val="36"/>
              </w:rPr>
              <w:t></w:t>
            </w:r>
          </w:p>
          <w:p w14:paraId="2E70097D" w14:textId="77777777" w:rsidR="00093128" w:rsidRDefault="00093128" w:rsidP="000B7A5C">
            <w:pPr>
              <w:jc w:val="center"/>
            </w:pPr>
          </w:p>
        </w:tc>
        <w:tc>
          <w:tcPr>
            <w:tcW w:w="1290" w:type="dxa"/>
            <w:shd w:val="clear" w:color="auto" w:fill="FFE599" w:themeFill="accent4" w:themeFillTint="66"/>
            <w:vAlign w:val="center"/>
          </w:tcPr>
          <w:p w14:paraId="1B28D65B" w14:textId="77777777" w:rsidR="00093128" w:rsidRDefault="00093128" w:rsidP="000B7A5C">
            <w:pPr>
              <w:jc w:val="center"/>
              <w:rPr>
                <w:rFonts w:ascii="Wingdings" w:hAnsi="Wingdings" w:cs="Calibri"/>
                <w:color w:val="000000"/>
                <w:sz w:val="36"/>
                <w:szCs w:val="36"/>
              </w:rPr>
            </w:pPr>
            <w:r>
              <w:rPr>
                <w:rFonts w:ascii="Wingdings" w:hAnsi="Wingdings" w:cs="Calibri"/>
                <w:color w:val="000000"/>
                <w:sz w:val="36"/>
                <w:szCs w:val="36"/>
              </w:rPr>
              <w:t></w:t>
            </w:r>
          </w:p>
          <w:p w14:paraId="08B421A7" w14:textId="77777777" w:rsidR="00093128" w:rsidRDefault="00093128" w:rsidP="000B7A5C">
            <w:pPr>
              <w:jc w:val="center"/>
            </w:pPr>
          </w:p>
        </w:tc>
        <w:tc>
          <w:tcPr>
            <w:tcW w:w="654" w:type="dxa"/>
            <w:shd w:val="clear" w:color="auto" w:fill="F4B083" w:themeFill="accent2" w:themeFillTint="99"/>
            <w:vAlign w:val="center"/>
          </w:tcPr>
          <w:p w14:paraId="017BA6D0" w14:textId="77777777" w:rsidR="00093128" w:rsidRDefault="00093128" w:rsidP="000B7A5C">
            <w:pPr>
              <w:jc w:val="center"/>
              <w:rPr>
                <w:rFonts w:ascii="Wingdings" w:hAnsi="Wingdings" w:cs="Calibri"/>
                <w:color w:val="000000"/>
                <w:sz w:val="36"/>
                <w:szCs w:val="36"/>
              </w:rPr>
            </w:pPr>
            <w:r>
              <w:rPr>
                <w:rFonts w:ascii="Wingdings" w:hAnsi="Wingdings" w:cs="Calibri"/>
                <w:color w:val="000000"/>
                <w:sz w:val="36"/>
                <w:szCs w:val="36"/>
              </w:rPr>
              <w:t></w:t>
            </w:r>
          </w:p>
          <w:p w14:paraId="7FBB344D" w14:textId="77777777" w:rsidR="00093128" w:rsidRDefault="00093128" w:rsidP="000B7A5C">
            <w:pPr>
              <w:jc w:val="center"/>
            </w:pPr>
          </w:p>
        </w:tc>
        <w:tc>
          <w:tcPr>
            <w:tcW w:w="2266" w:type="dxa"/>
            <w:vAlign w:val="center"/>
          </w:tcPr>
          <w:p w14:paraId="4BD27DC3" w14:textId="77777777" w:rsidR="00093128" w:rsidRPr="004C489F" w:rsidRDefault="00093128" w:rsidP="000B7A5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7D9443FC">
              <w:rPr>
                <w:rFonts w:ascii="Calibri" w:hAnsi="Calibri" w:cs="Calibri"/>
                <w:color w:val="000000" w:themeColor="text1"/>
              </w:rPr>
              <w:t>Avonbridge, California, Slamannan Whitecross &amp; Letham to be taken forward with gas infrastructure programme followed by individual property connections.</w:t>
            </w:r>
          </w:p>
        </w:tc>
        <w:tc>
          <w:tcPr>
            <w:tcW w:w="3314" w:type="dxa"/>
            <w:tcBorders>
              <w:bottom w:val="single" w:sz="4" w:space="0" w:color="auto"/>
            </w:tcBorders>
          </w:tcPr>
          <w:p w14:paraId="652F76BB" w14:textId="77777777" w:rsidR="00093128" w:rsidRPr="00A92109" w:rsidRDefault="00093128" w:rsidP="000B7A5C">
            <w:pPr>
              <w:spacing w:after="160" w:line="259" w:lineRule="auto"/>
              <w:rPr>
                <w:rFonts w:ascii="Calibri" w:eastAsia="Calibri" w:hAnsi="Calibri" w:cs="Calibri"/>
                <w:lang w:val="en-US"/>
              </w:rPr>
            </w:pPr>
            <w:r w:rsidRPr="00A92109">
              <w:rPr>
                <w:rFonts w:ascii="Calibri" w:eastAsia="Calibri" w:hAnsi="Calibri" w:cs="Calibri"/>
                <w:b/>
                <w:color w:val="000000"/>
              </w:rPr>
              <w:t xml:space="preserve">Ongoing </w:t>
            </w:r>
          </w:p>
          <w:p w14:paraId="1516D1B6" w14:textId="56D32BDF" w:rsidR="00093128" w:rsidRDefault="00093128" w:rsidP="000B7A5C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514687D8">
              <w:rPr>
                <w:rFonts w:ascii="Calibri" w:eastAsia="Calibri" w:hAnsi="Calibri" w:cs="Calibri"/>
                <w:lang w:val="en-US"/>
              </w:rPr>
              <w:t xml:space="preserve">Scottish Gas Network (SGN) </w:t>
            </w:r>
            <w:r w:rsidR="002F5194" w:rsidRPr="514687D8">
              <w:rPr>
                <w:rFonts w:ascii="Calibri" w:eastAsia="Calibri" w:hAnsi="Calibri" w:cs="Calibri"/>
              </w:rPr>
              <w:t xml:space="preserve">have </w:t>
            </w:r>
            <w:r w:rsidR="57DDF34F" w:rsidRPr="514687D8">
              <w:rPr>
                <w:rFonts w:ascii="Calibri" w:eastAsia="Calibri" w:hAnsi="Calibri" w:cs="Calibri"/>
              </w:rPr>
              <w:t>completed the gas infrastructure works to Letham, Whitecross and California and are finishing Avonbridge</w:t>
            </w:r>
            <w:r w:rsidR="576DBDC2" w:rsidRPr="514687D8">
              <w:rPr>
                <w:rFonts w:ascii="Calibri" w:eastAsia="Calibri" w:hAnsi="Calibri" w:cs="Calibri"/>
              </w:rPr>
              <w:t xml:space="preserve"> now.</w:t>
            </w:r>
            <w:r w:rsidR="008C7088" w:rsidRPr="514687D8">
              <w:rPr>
                <w:rFonts w:ascii="Calibri" w:eastAsia="Calibri" w:hAnsi="Calibri" w:cs="Calibri"/>
              </w:rPr>
              <w:t xml:space="preserve"> </w:t>
            </w:r>
            <w:r w:rsidR="60928545" w:rsidRPr="514687D8">
              <w:rPr>
                <w:rFonts w:ascii="Calibri" w:eastAsia="Calibri" w:hAnsi="Calibri" w:cs="Calibri"/>
              </w:rPr>
              <w:t xml:space="preserve">Slamannan will follow. </w:t>
            </w:r>
            <w:r w:rsidR="008C7088" w:rsidRPr="514687D8">
              <w:rPr>
                <w:rFonts w:ascii="Calibri" w:eastAsia="Calibri" w:hAnsi="Calibri" w:cs="Calibri"/>
              </w:rPr>
              <w:t>SGN have a dedicated webpage</w:t>
            </w:r>
            <w:r w:rsidR="00CC7566" w:rsidRPr="514687D8">
              <w:rPr>
                <w:rFonts w:ascii="Calibri" w:eastAsia="Calibri" w:hAnsi="Calibri" w:cs="Calibri"/>
              </w:rPr>
              <w:t>.</w:t>
            </w:r>
          </w:p>
          <w:p w14:paraId="6AFED946" w14:textId="73A013D6" w:rsidR="00CC7566" w:rsidRPr="00CC7566" w:rsidRDefault="00CC7566" w:rsidP="00CC7566">
            <w:pPr>
              <w:rPr>
                <w:rFonts w:ascii="Calibri" w:eastAsia="Calibri" w:hAnsi="Calibri" w:cs="Calibri"/>
              </w:rPr>
            </w:pPr>
            <w:r w:rsidRPr="2B23E71D">
              <w:rPr>
                <w:rFonts w:ascii="Calibri" w:eastAsia="Calibri" w:hAnsi="Calibri" w:cs="Calibri"/>
              </w:rPr>
              <w:t xml:space="preserve">Full up to date details of the gas installation programme are on </w:t>
            </w:r>
            <w:r w:rsidR="07440C29" w:rsidRPr="2B23E71D">
              <w:rPr>
                <w:rFonts w:ascii="Calibri" w:eastAsia="Calibri" w:hAnsi="Calibri" w:cs="Calibri"/>
              </w:rPr>
              <w:t>SGNs (Scottish Gas Network)</w:t>
            </w:r>
            <w:r w:rsidRPr="2B23E71D">
              <w:rPr>
                <w:rFonts w:ascii="Calibri" w:eastAsia="Calibri" w:hAnsi="Calibri" w:cs="Calibri"/>
              </w:rPr>
              <w:t xml:space="preserve"> website. This provides dates and maps showing the planned work per village. The page includes a link to contact SGN directly for more detailed information or any questions relating to the programme. It also has a specific link on how to get connected:</w:t>
            </w:r>
          </w:p>
          <w:p w14:paraId="4DE24286" w14:textId="77777777" w:rsidR="00CC7566" w:rsidRDefault="00CC7566" w:rsidP="00CC7566">
            <w:pPr>
              <w:rPr>
                <w:rStyle w:val="Hyperlink"/>
                <w:rFonts w:ascii="Calibri" w:eastAsia="Calibri" w:hAnsi="Calibri" w:cs="Calibri"/>
              </w:rPr>
            </w:pPr>
            <w:hyperlink r:id="rId9" w:history="1">
              <w:r w:rsidRPr="00CC7566">
                <w:rPr>
                  <w:rStyle w:val="Hyperlink"/>
                  <w:rFonts w:ascii="Calibri" w:eastAsia="Calibri" w:hAnsi="Calibri" w:cs="Calibri"/>
                </w:rPr>
                <w:t>Falkirk Gas Main Extension | SGN Your gas. Our network.</w:t>
              </w:r>
            </w:hyperlink>
          </w:p>
          <w:p w14:paraId="3A610F59" w14:textId="77777777" w:rsidR="00330481" w:rsidRDefault="00330481" w:rsidP="00CC7566">
            <w:pPr>
              <w:rPr>
                <w:rStyle w:val="Hyperlink"/>
                <w:rFonts w:ascii="Calibri" w:eastAsia="Calibri" w:hAnsi="Calibri" w:cs="Calibri"/>
              </w:rPr>
            </w:pPr>
          </w:p>
          <w:p w14:paraId="0793EE6D" w14:textId="6E055DD4" w:rsidR="00330481" w:rsidRPr="00CC7566" w:rsidRDefault="00330481" w:rsidP="00CC7566">
            <w:pPr>
              <w:rPr>
                <w:rFonts w:ascii="Calibri" w:eastAsia="Calibri" w:hAnsi="Calibri" w:cs="Calibri"/>
              </w:rPr>
            </w:pPr>
            <w:r w:rsidRPr="67004201">
              <w:rPr>
                <w:rFonts w:ascii="Calibri" w:eastAsia="Calibri" w:hAnsi="Calibri" w:cs="Calibri"/>
              </w:rPr>
              <w:t xml:space="preserve">SGN have set up a </w:t>
            </w:r>
            <w:r w:rsidR="00EB09D4" w:rsidRPr="67004201">
              <w:rPr>
                <w:rFonts w:ascii="Calibri" w:eastAsia="Calibri" w:hAnsi="Calibri" w:cs="Calibri"/>
              </w:rPr>
              <w:t xml:space="preserve">dedicated </w:t>
            </w:r>
            <w:r w:rsidR="001C0199" w:rsidRPr="67004201">
              <w:rPr>
                <w:rFonts w:ascii="Calibri" w:eastAsia="Calibri" w:hAnsi="Calibri" w:cs="Calibri"/>
              </w:rPr>
              <w:t>Fuel Poverty Support</w:t>
            </w:r>
            <w:r w:rsidR="001C0199" w:rsidRPr="67004201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67004201">
              <w:rPr>
                <w:rFonts w:ascii="Calibri" w:eastAsia="Calibri" w:hAnsi="Calibri" w:cs="Calibri"/>
              </w:rPr>
              <w:t xml:space="preserve">referral form to be used for customers living in Whitecross, Letham, California, Avonbridge and Slamannan only. </w:t>
            </w:r>
            <w:hyperlink r:id="rId10">
              <w:r w:rsidR="00B4499F" w:rsidRPr="67004201">
                <w:rPr>
                  <w:rStyle w:val="Hyperlink"/>
                  <w:rFonts w:ascii="Calibri" w:eastAsia="Calibri" w:hAnsi="Calibri" w:cs="Calibri"/>
                </w:rPr>
                <w:t>SGN Falkirk General Fuel Poverty Support (office.com)</w:t>
              </w:r>
            </w:hyperlink>
          </w:p>
          <w:p w14:paraId="2FFF5D49" w14:textId="1211A8F8" w:rsidR="67004201" w:rsidRDefault="67004201" w:rsidP="67004201">
            <w:pPr>
              <w:rPr>
                <w:rFonts w:ascii="Calibri" w:eastAsia="Calibri" w:hAnsi="Calibri" w:cs="Calibri"/>
              </w:rPr>
            </w:pPr>
          </w:p>
          <w:p w14:paraId="70861302" w14:textId="5F6D5C40" w:rsidR="00093128" w:rsidRPr="004E1ACF" w:rsidRDefault="0059C0F6" w:rsidP="67004201">
            <w:pPr>
              <w:spacing w:line="259" w:lineRule="auto"/>
              <w:rPr>
                <w:rFonts w:ascii="Calibri" w:eastAsia="Calibri" w:hAnsi="Calibri" w:cs="Calibri"/>
              </w:rPr>
            </w:pPr>
            <w:r w:rsidRPr="67004201">
              <w:rPr>
                <w:rFonts w:ascii="Calibri" w:eastAsia="Calibri" w:hAnsi="Calibri" w:cs="Calibri"/>
              </w:rPr>
              <w:t>The contract</w:t>
            </w:r>
            <w:r w:rsidR="27729C13" w:rsidRPr="67004201">
              <w:rPr>
                <w:rFonts w:ascii="Calibri" w:eastAsia="Calibri" w:hAnsi="Calibri" w:cs="Calibri"/>
              </w:rPr>
              <w:t>s</w:t>
            </w:r>
            <w:r w:rsidRPr="67004201">
              <w:rPr>
                <w:rFonts w:ascii="Calibri" w:eastAsia="Calibri" w:hAnsi="Calibri" w:cs="Calibri"/>
              </w:rPr>
              <w:t xml:space="preserve"> for installing heating to </w:t>
            </w:r>
            <w:r w:rsidR="7C8A7FD5" w:rsidRPr="67004201">
              <w:rPr>
                <w:rFonts w:ascii="Calibri" w:eastAsia="Calibri" w:hAnsi="Calibri" w:cs="Calibri"/>
              </w:rPr>
              <w:t xml:space="preserve">addresses in </w:t>
            </w:r>
            <w:r w:rsidRPr="67004201">
              <w:rPr>
                <w:rFonts w:ascii="Calibri" w:eastAsia="Calibri" w:hAnsi="Calibri" w:cs="Calibri"/>
              </w:rPr>
              <w:t>Letham</w:t>
            </w:r>
            <w:r w:rsidR="278C28EB" w:rsidRPr="67004201">
              <w:rPr>
                <w:rFonts w:ascii="Calibri" w:eastAsia="Calibri" w:hAnsi="Calibri" w:cs="Calibri"/>
              </w:rPr>
              <w:t xml:space="preserve">, Whitecross, California and Avonbridge have all started on site. </w:t>
            </w:r>
          </w:p>
          <w:p w14:paraId="2CD91344" w14:textId="0687BE8E" w:rsidR="00093128" w:rsidRPr="004E1ACF" w:rsidRDefault="278C28EB" w:rsidP="67004201">
            <w:pPr>
              <w:spacing w:line="259" w:lineRule="auto"/>
              <w:rPr>
                <w:rFonts w:ascii="Calibri" w:eastAsia="Calibri" w:hAnsi="Calibri" w:cs="Calibri"/>
              </w:rPr>
            </w:pPr>
            <w:r w:rsidRPr="67004201">
              <w:rPr>
                <w:rFonts w:ascii="Calibri" w:eastAsia="Calibri" w:hAnsi="Calibri" w:cs="Calibri"/>
              </w:rPr>
              <w:t>Tenants have be</w:t>
            </w:r>
            <w:r w:rsidR="09DDD9C2" w:rsidRPr="67004201">
              <w:rPr>
                <w:rFonts w:ascii="Calibri" w:eastAsia="Calibri" w:hAnsi="Calibri" w:cs="Calibri"/>
              </w:rPr>
              <w:t>e</w:t>
            </w:r>
            <w:r w:rsidRPr="67004201">
              <w:rPr>
                <w:rFonts w:ascii="Calibri" w:eastAsia="Calibri" w:hAnsi="Calibri" w:cs="Calibri"/>
              </w:rPr>
              <w:t>n slow to arran</w:t>
            </w:r>
            <w:r w:rsidR="5BB9A1C0" w:rsidRPr="67004201">
              <w:rPr>
                <w:rFonts w:ascii="Calibri" w:eastAsia="Calibri" w:hAnsi="Calibri" w:cs="Calibri"/>
              </w:rPr>
              <w:t>g</w:t>
            </w:r>
            <w:r w:rsidRPr="67004201">
              <w:rPr>
                <w:rFonts w:ascii="Calibri" w:eastAsia="Calibri" w:hAnsi="Calibri" w:cs="Calibri"/>
              </w:rPr>
              <w:t xml:space="preserve">e their new gas meters to allow install of </w:t>
            </w:r>
            <w:r w:rsidR="55B70855" w:rsidRPr="67004201">
              <w:rPr>
                <w:rFonts w:ascii="Calibri" w:eastAsia="Calibri" w:hAnsi="Calibri" w:cs="Calibri"/>
              </w:rPr>
              <w:t>the</w:t>
            </w:r>
            <w:r w:rsidRPr="67004201">
              <w:rPr>
                <w:rFonts w:ascii="Calibri" w:eastAsia="Calibri" w:hAnsi="Calibri" w:cs="Calibri"/>
              </w:rPr>
              <w:t xml:space="preserve"> new heating systems ho</w:t>
            </w:r>
            <w:r w:rsidR="6B7BA7D0" w:rsidRPr="67004201">
              <w:rPr>
                <w:rFonts w:ascii="Calibri" w:eastAsia="Calibri" w:hAnsi="Calibri" w:cs="Calibri"/>
              </w:rPr>
              <w:t>w</w:t>
            </w:r>
            <w:r w:rsidRPr="67004201">
              <w:rPr>
                <w:rFonts w:ascii="Calibri" w:eastAsia="Calibri" w:hAnsi="Calibri" w:cs="Calibri"/>
              </w:rPr>
              <w:t xml:space="preserve">ever they have </w:t>
            </w:r>
            <w:r w:rsidR="464ECD61" w:rsidRPr="67004201">
              <w:rPr>
                <w:rFonts w:ascii="Calibri" w:eastAsia="Calibri" w:hAnsi="Calibri" w:cs="Calibri"/>
              </w:rPr>
              <w:t>been reminded of the RTS message being ad</w:t>
            </w:r>
            <w:r w:rsidR="26745052" w:rsidRPr="67004201">
              <w:rPr>
                <w:rFonts w:ascii="Calibri" w:eastAsia="Calibri" w:hAnsi="Calibri" w:cs="Calibri"/>
              </w:rPr>
              <w:t xml:space="preserve">vertised, and the need to ensure they have access to heating and hot water after the switch off, and they appear to be responding and </w:t>
            </w:r>
            <w:r w:rsidR="4A67ECFA" w:rsidRPr="67004201">
              <w:rPr>
                <w:rFonts w:ascii="Calibri" w:eastAsia="Calibri" w:hAnsi="Calibri" w:cs="Calibri"/>
              </w:rPr>
              <w:t>arranging</w:t>
            </w:r>
            <w:r w:rsidR="26745052" w:rsidRPr="67004201">
              <w:rPr>
                <w:rFonts w:ascii="Calibri" w:eastAsia="Calibri" w:hAnsi="Calibri" w:cs="Calibri"/>
              </w:rPr>
              <w:t xml:space="preserve"> meters now.</w:t>
            </w:r>
            <w:r w:rsidR="159F835A" w:rsidRPr="67004201">
              <w:rPr>
                <w:rFonts w:ascii="Calibri" w:eastAsia="Calibri" w:hAnsi="Calibri" w:cs="Calibri"/>
              </w:rPr>
              <w:t xml:space="preserve"> </w:t>
            </w:r>
          </w:p>
          <w:p w14:paraId="35134637" w14:textId="6CA0436E" w:rsidR="00093128" w:rsidRPr="004E1ACF" w:rsidRDefault="159F835A" w:rsidP="009B6E06">
            <w:pPr>
              <w:spacing w:line="259" w:lineRule="auto"/>
              <w:rPr>
                <w:rFonts w:ascii="Calibri" w:eastAsia="Calibri" w:hAnsi="Calibri" w:cs="Calibri"/>
              </w:rPr>
            </w:pPr>
            <w:r w:rsidRPr="67004201">
              <w:rPr>
                <w:rFonts w:ascii="Calibri" w:eastAsia="Calibri" w:hAnsi="Calibri" w:cs="Calibri"/>
              </w:rPr>
              <w:t>Infrastructure is still progressing in Slamannan, and works for installing heating will progress once complete.</w:t>
            </w:r>
          </w:p>
        </w:tc>
      </w:tr>
      <w:tr w:rsidR="00093128" w14:paraId="4F93671D" w14:textId="77777777" w:rsidTr="514687D8"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78848" w14:textId="77777777" w:rsidR="00093128" w:rsidRPr="00115A51" w:rsidRDefault="00093128" w:rsidP="000B7A5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15A51">
              <w:rPr>
                <w:rFonts w:ascii="Calibri" w:hAnsi="Calibri" w:cs="Calibri"/>
                <w:b/>
                <w:bCs/>
                <w:color w:val="000000"/>
              </w:rPr>
              <w:lastRenderedPageBreak/>
              <w:t>Property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14:paraId="77640E04" w14:textId="77777777" w:rsidR="00093128" w:rsidRDefault="00093128" w:rsidP="000B7A5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4C489F">
              <w:rPr>
                <w:rFonts w:cs="Arial"/>
              </w:rPr>
              <w:t xml:space="preserve">Further assessment of </w:t>
            </w:r>
            <w:r>
              <w:rPr>
                <w:rFonts w:cs="Arial"/>
              </w:rPr>
              <w:t xml:space="preserve">options for the remaining villages including renewable technologies 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547AA3D1" w14:textId="77777777" w:rsidR="00093128" w:rsidRDefault="00093128" w:rsidP="000B7A5C">
            <w:pPr>
              <w:jc w:val="center"/>
              <w:rPr>
                <w:rFonts w:cstheme="minorHAnsi"/>
                <w:color w:val="000000"/>
              </w:rPr>
            </w:pPr>
            <w:r>
              <w:t>Falkirk Council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7FEB6635" w14:textId="77777777" w:rsidR="00093128" w:rsidRDefault="00093128" w:rsidP="000B7A5C">
            <w:pPr>
              <w:jc w:val="center"/>
            </w:pPr>
            <w:r>
              <w:t>Falkirk Council Tenants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4BD04EE" w14:textId="77777777" w:rsidR="00093128" w:rsidRPr="00432DE8" w:rsidRDefault="00093128" w:rsidP="000B7A5C">
            <w:pPr>
              <w:jc w:val="center"/>
              <w:rPr>
                <w:rFonts w:ascii="Wingdings" w:hAnsi="Wingdings" w:cs="Calibri"/>
                <w:color w:val="000000"/>
                <w:sz w:val="36"/>
                <w:szCs w:val="36"/>
              </w:rPr>
            </w:pPr>
            <w:r w:rsidRPr="7D9443FC">
              <w:rPr>
                <w:rFonts w:ascii="Wingdings" w:hAnsi="Wingdings" w:cs="Calibri"/>
                <w:color w:val="000000" w:themeColor="text1"/>
                <w:sz w:val="36"/>
                <w:szCs w:val="36"/>
              </w:rPr>
              <w:t>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272D3BC" w14:textId="77777777" w:rsidR="00093128" w:rsidRDefault="00093128" w:rsidP="000B7A5C">
            <w:pPr>
              <w:jc w:val="center"/>
              <w:rPr>
                <w:rFonts w:ascii="Wingdings" w:hAnsi="Wingdings" w:cs="Calibri"/>
                <w:color w:val="000000" w:themeColor="text1"/>
                <w:sz w:val="36"/>
                <w:szCs w:val="36"/>
              </w:rPr>
            </w:pPr>
          </w:p>
          <w:p w14:paraId="6A31B2C1" w14:textId="77777777" w:rsidR="00093128" w:rsidRDefault="00093128" w:rsidP="000B7A5C">
            <w:pPr>
              <w:jc w:val="center"/>
              <w:rPr>
                <w:rFonts w:ascii="Wingdings" w:hAnsi="Wingdings" w:cs="Calibri"/>
                <w:color w:val="000000"/>
                <w:sz w:val="36"/>
                <w:szCs w:val="36"/>
              </w:rPr>
            </w:pPr>
            <w:r>
              <w:rPr>
                <w:rFonts w:ascii="Wingdings" w:hAnsi="Wingdings" w:cs="Calibri"/>
                <w:color w:val="000000"/>
                <w:sz w:val="36"/>
                <w:szCs w:val="36"/>
              </w:rPr>
              <w:t></w:t>
            </w:r>
          </w:p>
          <w:p w14:paraId="0FA37FB1" w14:textId="77777777" w:rsidR="00093128" w:rsidRPr="00432DE8" w:rsidRDefault="00093128" w:rsidP="000B7A5C">
            <w:pPr>
              <w:jc w:val="center"/>
              <w:rPr>
                <w:rFonts w:ascii="Wingdings" w:hAnsi="Wingdings" w:cs="Calibri"/>
                <w:color w:val="000000"/>
                <w:sz w:val="36"/>
                <w:szCs w:val="36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0E665A28" w14:textId="77777777" w:rsidR="00093128" w:rsidRDefault="00093128" w:rsidP="000B7A5C">
            <w:pPr>
              <w:jc w:val="center"/>
              <w:rPr>
                <w:rFonts w:ascii="Wingdings" w:hAnsi="Wingdings" w:cs="Calibri"/>
                <w:color w:val="000000" w:themeColor="text1"/>
                <w:sz w:val="36"/>
                <w:szCs w:val="36"/>
              </w:rPr>
            </w:pPr>
          </w:p>
          <w:p w14:paraId="079D747F" w14:textId="77777777" w:rsidR="00093128" w:rsidRDefault="00093128" w:rsidP="000B7A5C">
            <w:pPr>
              <w:jc w:val="center"/>
              <w:rPr>
                <w:rFonts w:ascii="Wingdings" w:hAnsi="Wingdings" w:cs="Calibri"/>
                <w:color w:val="000000"/>
                <w:sz w:val="36"/>
                <w:szCs w:val="36"/>
              </w:rPr>
            </w:pPr>
            <w:r>
              <w:rPr>
                <w:rFonts w:ascii="Wingdings" w:hAnsi="Wingdings" w:cs="Calibri"/>
                <w:color w:val="000000"/>
                <w:sz w:val="36"/>
                <w:szCs w:val="36"/>
              </w:rPr>
              <w:t></w:t>
            </w:r>
          </w:p>
          <w:p w14:paraId="3E8AD5F2" w14:textId="77777777" w:rsidR="00093128" w:rsidRPr="00432DE8" w:rsidRDefault="00093128" w:rsidP="000B7A5C">
            <w:pPr>
              <w:jc w:val="center"/>
              <w:rPr>
                <w:rFonts w:ascii="Wingdings" w:hAnsi="Wingdings" w:cs="Calibri"/>
                <w:color w:val="000000"/>
                <w:sz w:val="36"/>
                <w:szCs w:val="3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6F3E8C63" w14:textId="77777777" w:rsidR="00093128" w:rsidRPr="00936E77" w:rsidRDefault="00093128" w:rsidP="000B7A5C">
            <w:pPr>
              <w:jc w:val="both"/>
              <w:rPr>
                <w:rFonts w:ascii="Calibri" w:hAnsi="Calibri" w:cs="Calibri"/>
                <w:color w:val="000000"/>
              </w:rPr>
            </w:pPr>
            <w:r w:rsidRPr="7D9443FC">
              <w:rPr>
                <w:rFonts w:cs="Arial"/>
              </w:rPr>
              <w:t>Blackness; Standburn; South Alloa, Torwood and Limerigg covers all areas with no gas infrastructure.</w:t>
            </w:r>
          </w:p>
        </w:tc>
        <w:tc>
          <w:tcPr>
            <w:tcW w:w="3314" w:type="dxa"/>
            <w:tcBorders>
              <w:bottom w:val="single" w:sz="4" w:space="0" w:color="auto"/>
            </w:tcBorders>
          </w:tcPr>
          <w:p w14:paraId="4D9CAC3F" w14:textId="77777777" w:rsidR="00093128" w:rsidRDefault="00093128" w:rsidP="000B7A5C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Ongoing</w:t>
            </w:r>
            <w:r w:rsidRPr="00290FD7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  <w:p w14:paraId="75FEEB3D" w14:textId="2BFC4005" w:rsidR="00DD6D76" w:rsidRPr="00991D26" w:rsidRDefault="242DE246" w:rsidP="514687D8">
            <w:pPr>
              <w:spacing w:after="160" w:line="259" w:lineRule="auto"/>
              <w:rPr>
                <w:rFonts w:ascii="Calibri" w:eastAsia="Calibri" w:hAnsi="Calibri" w:cs="Times New Roman"/>
                <w:i/>
                <w:iCs/>
              </w:rPr>
            </w:pPr>
            <w:r w:rsidRPr="514687D8">
              <w:rPr>
                <w:rFonts w:ascii="Calibri" w:eastAsia="Calibri" w:hAnsi="Calibri" w:cs="Calibri"/>
                <w:color w:val="000000" w:themeColor="text1"/>
              </w:rPr>
              <w:t>After successful completion of</w:t>
            </w:r>
            <w:r w:rsidRPr="514687D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00093128" w:rsidRPr="514687D8">
              <w:rPr>
                <w:rFonts w:ascii="Calibri" w:eastAsia="Calibri" w:hAnsi="Calibri" w:cs="Calibri"/>
                <w:b/>
                <w:bCs/>
                <w:color w:val="000000" w:themeColor="text1"/>
              </w:rPr>
              <w:t>Phase 1</w:t>
            </w:r>
            <w:r w:rsidR="0093785D" w:rsidRPr="514687D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2AA0C671" w:rsidRPr="514687D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(2022/23) </w:t>
            </w:r>
            <w:r w:rsidR="3A62301E" w:rsidRPr="514687D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and </w:t>
            </w:r>
            <w:r w:rsidR="163BB57C" w:rsidRPr="514687D8">
              <w:rPr>
                <w:rFonts w:ascii="Calibri" w:eastAsia="Calibri" w:hAnsi="Calibri" w:cs="Calibri"/>
                <w:b/>
                <w:bCs/>
                <w:color w:val="000000" w:themeColor="text1"/>
              </w:rPr>
              <w:t>P</w:t>
            </w:r>
            <w:r w:rsidR="3A62301E" w:rsidRPr="514687D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hase 2 (2023/24) </w:t>
            </w:r>
            <w:r w:rsidR="039C94A8" w:rsidRPr="514687D8">
              <w:rPr>
                <w:rFonts w:ascii="Calibri" w:eastAsia="Calibri" w:hAnsi="Calibri" w:cs="Calibri"/>
                <w:color w:val="000000" w:themeColor="text1"/>
              </w:rPr>
              <w:t xml:space="preserve">with the </w:t>
            </w:r>
            <w:r w:rsidR="3A62301E" w:rsidRPr="514687D8">
              <w:rPr>
                <w:rFonts w:ascii="Calibri" w:eastAsia="Calibri" w:hAnsi="Calibri" w:cs="Calibri"/>
                <w:color w:val="000000" w:themeColor="text1"/>
              </w:rPr>
              <w:t xml:space="preserve">installation of </w:t>
            </w:r>
            <w:r w:rsidR="00093128" w:rsidRPr="514687D8">
              <w:rPr>
                <w:rFonts w:ascii="Calibri" w:eastAsia="Calibri" w:hAnsi="Calibri" w:cs="Calibri"/>
              </w:rPr>
              <w:t>Air Source Heat Pump (ASHP)</w:t>
            </w:r>
            <w:r w:rsidR="5FB2E699" w:rsidRPr="514687D8">
              <w:rPr>
                <w:rFonts w:ascii="Calibri" w:eastAsia="Calibri" w:hAnsi="Calibri" w:cs="Calibri"/>
              </w:rPr>
              <w:t xml:space="preserve"> and pv’s with battery store</w:t>
            </w:r>
            <w:r w:rsidR="00093128" w:rsidRPr="514687D8">
              <w:rPr>
                <w:rFonts w:ascii="Calibri" w:eastAsia="Calibri" w:hAnsi="Calibri" w:cs="Calibri"/>
              </w:rPr>
              <w:t xml:space="preserve"> </w:t>
            </w:r>
            <w:r w:rsidR="14BC5863" w:rsidRPr="514687D8">
              <w:rPr>
                <w:rFonts w:ascii="Calibri" w:eastAsia="Calibri" w:hAnsi="Calibri" w:cs="Calibri"/>
              </w:rPr>
              <w:t>to 127 addresses</w:t>
            </w:r>
            <w:r w:rsidR="66594FD6" w:rsidRPr="514687D8">
              <w:rPr>
                <w:rFonts w:ascii="Calibri" w:eastAsia="Calibri" w:hAnsi="Calibri" w:cs="Calibri"/>
              </w:rPr>
              <w:t xml:space="preserve">, </w:t>
            </w:r>
            <w:r w:rsidR="7FA98CA2" w:rsidRPr="514687D8">
              <w:rPr>
                <w:rFonts w:ascii="Calibri" w:eastAsia="Calibri" w:hAnsi="Calibri" w:cs="Times New Roman"/>
              </w:rPr>
              <w:t xml:space="preserve">FC has submitted a note of interest to the Scottish </w:t>
            </w:r>
            <w:r w:rsidR="7FA98CA2" w:rsidRPr="514687D8">
              <w:rPr>
                <w:rFonts w:ascii="Calibri" w:eastAsia="Calibri" w:hAnsi="Calibri" w:cs="Times New Roman"/>
              </w:rPr>
              <w:lastRenderedPageBreak/>
              <w:t>Government - Social Housing Net Zero Heat Fund</w:t>
            </w:r>
            <w:r w:rsidR="21A3CCE5" w:rsidRPr="514687D8">
              <w:rPr>
                <w:rFonts w:ascii="Calibri" w:eastAsia="Calibri" w:hAnsi="Calibri" w:cs="Times New Roman"/>
              </w:rPr>
              <w:t xml:space="preserve"> 2025/26</w:t>
            </w:r>
            <w:r w:rsidR="7FA98CA2" w:rsidRPr="514687D8">
              <w:rPr>
                <w:rFonts w:ascii="Calibri" w:eastAsia="Calibri" w:hAnsi="Calibri" w:cs="Times New Roman"/>
              </w:rPr>
              <w:t xml:space="preserve"> </w:t>
            </w:r>
            <w:r w:rsidR="6F10FB97" w:rsidRPr="514687D8">
              <w:rPr>
                <w:rFonts w:ascii="Calibri" w:eastAsia="Calibri" w:hAnsi="Calibri" w:cs="Times New Roman"/>
              </w:rPr>
              <w:t>for funding</w:t>
            </w:r>
            <w:r w:rsidR="299E2AA2" w:rsidRPr="514687D8">
              <w:rPr>
                <w:rFonts w:ascii="Calibri" w:eastAsia="Calibri" w:hAnsi="Calibri" w:cs="Times New Roman"/>
              </w:rPr>
              <w:t>,</w:t>
            </w:r>
            <w:r w:rsidR="7FA98CA2" w:rsidRPr="514687D8">
              <w:rPr>
                <w:rFonts w:ascii="Calibri" w:eastAsia="Calibri" w:hAnsi="Calibri" w:cs="Times New Roman"/>
              </w:rPr>
              <w:t xml:space="preserve"> to help fund a further </w:t>
            </w:r>
            <w:r w:rsidR="71F05F52" w:rsidRPr="514687D8">
              <w:rPr>
                <w:rFonts w:ascii="Calibri" w:eastAsia="Calibri" w:hAnsi="Calibri" w:cs="Times New Roman"/>
              </w:rPr>
              <w:t>30</w:t>
            </w:r>
            <w:r w:rsidR="7FA98CA2" w:rsidRPr="514687D8">
              <w:rPr>
                <w:rFonts w:ascii="Calibri" w:eastAsia="Calibri" w:hAnsi="Calibri" w:cs="Times New Roman"/>
              </w:rPr>
              <w:t xml:space="preserve"> tenanted addresses to receive ASPH and PV with battery store, in the off-gas areas.</w:t>
            </w:r>
            <w:r w:rsidR="00093128" w:rsidRPr="514687D8">
              <w:rPr>
                <w:rFonts w:ascii="Calibri" w:eastAsia="Calibri" w:hAnsi="Calibri" w:cs="Times New Roman"/>
              </w:rPr>
              <w:t xml:space="preserve"> </w:t>
            </w:r>
            <w:r w:rsidR="00C3029D">
              <w:rPr>
                <w:rFonts w:ascii="Calibri" w:eastAsia="Calibri" w:hAnsi="Calibri" w:cs="Times New Roman"/>
              </w:rPr>
              <w:t>This will form</w:t>
            </w:r>
            <w:r w:rsidR="003007A3">
              <w:rPr>
                <w:rFonts w:ascii="Calibri" w:eastAsia="Calibri" w:hAnsi="Calibri" w:cs="Times New Roman"/>
              </w:rPr>
              <w:t xml:space="preserve"> Phase 3, subject to funding. </w:t>
            </w:r>
            <w:r w:rsidR="01C46152" w:rsidRPr="514687D8">
              <w:rPr>
                <w:rFonts w:ascii="Calibri" w:eastAsia="Calibri" w:hAnsi="Calibri" w:cs="Times New Roman"/>
              </w:rPr>
              <w:t xml:space="preserve">The </w:t>
            </w:r>
            <w:r w:rsidR="57FA07E9" w:rsidRPr="514687D8">
              <w:rPr>
                <w:rFonts w:ascii="Calibri" w:eastAsia="Calibri" w:hAnsi="Calibri" w:cs="Times New Roman"/>
              </w:rPr>
              <w:t xml:space="preserve">Home </w:t>
            </w:r>
            <w:r w:rsidR="01C46152" w:rsidRPr="514687D8">
              <w:rPr>
                <w:rFonts w:ascii="Calibri" w:eastAsia="Calibri" w:hAnsi="Calibri" w:cs="Times New Roman"/>
              </w:rPr>
              <w:t xml:space="preserve">Energy </w:t>
            </w:r>
            <w:r w:rsidR="39B1961E" w:rsidRPr="514687D8">
              <w:rPr>
                <w:rFonts w:ascii="Calibri" w:eastAsia="Calibri" w:hAnsi="Calibri" w:cs="Times New Roman"/>
              </w:rPr>
              <w:t xml:space="preserve">Strategy </w:t>
            </w:r>
            <w:r w:rsidR="01C46152" w:rsidRPr="514687D8">
              <w:rPr>
                <w:rFonts w:ascii="Calibri" w:eastAsia="Calibri" w:hAnsi="Calibri" w:cs="Times New Roman"/>
              </w:rPr>
              <w:t xml:space="preserve">Officer has installed internal monitors into 3 properties that will be benefitting from </w:t>
            </w:r>
            <w:r w:rsidR="1AE42761" w:rsidRPr="514687D8">
              <w:rPr>
                <w:rFonts w:ascii="Calibri" w:eastAsia="Calibri" w:hAnsi="Calibri" w:cs="Times New Roman"/>
              </w:rPr>
              <w:t>new</w:t>
            </w:r>
            <w:r w:rsidR="01C46152" w:rsidRPr="514687D8">
              <w:rPr>
                <w:rFonts w:ascii="Calibri" w:eastAsia="Calibri" w:hAnsi="Calibri" w:cs="Times New Roman"/>
              </w:rPr>
              <w:t xml:space="preserve"> heating to monitor the impact the heating will make.</w:t>
            </w:r>
          </w:p>
        </w:tc>
      </w:tr>
    </w:tbl>
    <w:p w14:paraId="08E2B0A3" w14:textId="10BDC8A2" w:rsidR="00723141" w:rsidRDefault="00723141" w:rsidP="00602327"/>
    <w:p w14:paraId="7C88AC7A" w14:textId="77777777" w:rsidR="007F6320" w:rsidRDefault="007F6320" w:rsidP="7332F375">
      <w:pPr>
        <w:rPr>
          <w:b/>
          <w:bCs/>
        </w:rPr>
      </w:pPr>
    </w:p>
    <w:p w14:paraId="1B9044FB" w14:textId="77777777" w:rsidR="007F6320" w:rsidRDefault="007F6320" w:rsidP="7332F375">
      <w:pPr>
        <w:rPr>
          <w:b/>
          <w:bCs/>
        </w:rPr>
      </w:pPr>
    </w:p>
    <w:p w14:paraId="57143593" w14:textId="77777777" w:rsidR="007F6320" w:rsidRDefault="007F6320" w:rsidP="7332F375">
      <w:pPr>
        <w:rPr>
          <w:b/>
          <w:bCs/>
        </w:rPr>
      </w:pPr>
    </w:p>
    <w:p w14:paraId="79A7D05F" w14:textId="77777777" w:rsidR="007F6320" w:rsidRDefault="007F6320" w:rsidP="7332F375">
      <w:pPr>
        <w:rPr>
          <w:b/>
          <w:bCs/>
        </w:rPr>
      </w:pPr>
    </w:p>
    <w:p w14:paraId="192A7017" w14:textId="77777777" w:rsidR="007F6320" w:rsidRDefault="007F6320" w:rsidP="7332F375">
      <w:pPr>
        <w:rPr>
          <w:b/>
          <w:bCs/>
        </w:rPr>
      </w:pPr>
    </w:p>
    <w:p w14:paraId="7BC3C6F9" w14:textId="77777777" w:rsidR="007F6320" w:rsidRDefault="007F6320" w:rsidP="7332F375">
      <w:pPr>
        <w:rPr>
          <w:b/>
          <w:bCs/>
        </w:rPr>
      </w:pPr>
    </w:p>
    <w:p w14:paraId="60BF32C5" w14:textId="77777777" w:rsidR="007F6320" w:rsidRDefault="007F6320" w:rsidP="7332F375">
      <w:pPr>
        <w:rPr>
          <w:b/>
          <w:bCs/>
        </w:rPr>
      </w:pPr>
    </w:p>
    <w:p w14:paraId="2F724EA7" w14:textId="77777777" w:rsidR="007F6320" w:rsidRDefault="007F6320" w:rsidP="7332F375">
      <w:pPr>
        <w:rPr>
          <w:b/>
          <w:bCs/>
        </w:rPr>
      </w:pPr>
    </w:p>
    <w:p w14:paraId="6C66D72F" w14:textId="77777777" w:rsidR="007F6320" w:rsidRDefault="007F6320" w:rsidP="7332F375">
      <w:pPr>
        <w:rPr>
          <w:b/>
          <w:bCs/>
        </w:rPr>
      </w:pPr>
    </w:p>
    <w:p w14:paraId="58D81906" w14:textId="77777777" w:rsidR="007F6320" w:rsidRDefault="007F6320" w:rsidP="7332F375">
      <w:pPr>
        <w:rPr>
          <w:b/>
          <w:bCs/>
        </w:rPr>
      </w:pPr>
    </w:p>
    <w:p w14:paraId="70CBE306" w14:textId="77777777" w:rsidR="007F6320" w:rsidRDefault="007F6320" w:rsidP="7332F375">
      <w:pPr>
        <w:rPr>
          <w:b/>
          <w:bCs/>
        </w:rPr>
      </w:pPr>
    </w:p>
    <w:p w14:paraId="38036E0F" w14:textId="7544F084" w:rsidR="0026748E" w:rsidRPr="0026748E" w:rsidRDefault="0026748E" w:rsidP="7332F375">
      <w:pPr>
        <w:rPr>
          <w:b/>
          <w:bCs/>
          <w:color w:val="FF0000"/>
        </w:rPr>
      </w:pPr>
      <w:r w:rsidRPr="7332F375">
        <w:rPr>
          <w:b/>
          <w:bCs/>
        </w:rPr>
        <w:lastRenderedPageBreak/>
        <w:t>General Updates</w:t>
      </w:r>
      <w:r w:rsidR="0093785D" w:rsidRPr="7332F375">
        <w:rPr>
          <w:b/>
          <w:bCs/>
        </w:rPr>
        <w:t xml:space="preserve"> </w:t>
      </w:r>
    </w:p>
    <w:p w14:paraId="5FD1A250" w14:textId="17CAB871" w:rsidR="0026748E" w:rsidRPr="007F6320" w:rsidRDefault="2B94EBA7" w:rsidP="007F6320">
      <w:r>
        <w:t xml:space="preserve">To date </w:t>
      </w:r>
      <w:r w:rsidR="0026748E">
        <w:t>we have completed:</w:t>
      </w:r>
    </w:p>
    <w:tbl>
      <w:tblPr>
        <w:tblW w:w="21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134"/>
        <w:gridCol w:w="16587"/>
      </w:tblGrid>
      <w:tr w:rsidR="00F61AAE" w:rsidRPr="00F61AAE" w14:paraId="57068C78" w14:textId="77777777" w:rsidTr="00F61AAE">
        <w:trPr>
          <w:trHeight w:val="29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39B06" w14:textId="77777777" w:rsidR="00F61AAE" w:rsidRPr="00F61AAE" w:rsidRDefault="00F61AAE" w:rsidP="00F61AAE">
            <w:pPr>
              <w:rPr>
                <w:b/>
                <w:bCs/>
              </w:rPr>
            </w:pPr>
            <w:r w:rsidRPr="00F61AAE">
              <w:rPr>
                <w:b/>
                <w:bCs/>
              </w:rPr>
              <w:t>Description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EEFC5" w14:textId="77777777" w:rsidR="00F61AAE" w:rsidRPr="00F61AAE" w:rsidRDefault="00F61AAE" w:rsidP="00F61AAE">
            <w:pPr>
              <w:rPr>
                <w:b/>
                <w:bCs/>
              </w:rPr>
            </w:pPr>
            <w:r w:rsidRPr="00F61AAE">
              <w:rPr>
                <w:b/>
                <w:bCs/>
              </w:rPr>
              <w:t>Totals</w:t>
            </w:r>
          </w:p>
        </w:tc>
        <w:tc>
          <w:tcPr>
            <w:tcW w:w="16587" w:type="dxa"/>
          </w:tcPr>
          <w:p w14:paraId="07515A6C" w14:textId="77777777" w:rsidR="00F61AAE" w:rsidRPr="00F61AAE" w:rsidRDefault="00F61AAE" w:rsidP="00F61AAE">
            <w:pPr>
              <w:rPr>
                <w:b/>
                <w:bCs/>
              </w:rPr>
            </w:pPr>
          </w:p>
        </w:tc>
      </w:tr>
      <w:tr w:rsidR="00F61AAE" w:rsidRPr="00F61AAE" w14:paraId="7B2C66B1" w14:textId="77777777" w:rsidTr="00F61AAE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47AA04" w14:textId="77777777" w:rsidR="00F61AAE" w:rsidRPr="00F61AAE" w:rsidRDefault="00F61AAE" w:rsidP="00F61AAE">
            <w:r w:rsidRPr="00F61AAE">
              <w:t>Total Number of Tenant Households in the Off Gas Areas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22DCD" w14:textId="77777777" w:rsidR="00F61AAE" w:rsidRPr="00F61AAE" w:rsidRDefault="00F61AAE" w:rsidP="00F61AAE">
            <w:r w:rsidRPr="00F61AAE">
              <w:t>771</w:t>
            </w:r>
          </w:p>
        </w:tc>
        <w:tc>
          <w:tcPr>
            <w:tcW w:w="16587" w:type="dxa"/>
          </w:tcPr>
          <w:p w14:paraId="5CB3DCD9" w14:textId="77777777" w:rsidR="00F61AAE" w:rsidRPr="00F61AAE" w:rsidRDefault="00F61AAE" w:rsidP="00F61AAE"/>
        </w:tc>
      </w:tr>
      <w:tr w:rsidR="00F61AAE" w:rsidRPr="00F61AAE" w14:paraId="3476EA12" w14:textId="77777777" w:rsidTr="00F61AAE">
        <w:trPr>
          <w:trHeight w:val="146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C89C9" w14:textId="77777777" w:rsidR="00F61AAE" w:rsidRPr="00F61AAE" w:rsidRDefault="00F61AAE" w:rsidP="00F61AAE">
            <w:pPr>
              <w:numPr>
                <w:ilvl w:val="0"/>
                <w:numId w:val="8"/>
              </w:numPr>
            </w:pPr>
            <w:r w:rsidRPr="00F61AAE">
              <w:t>Number of gas connections made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EDD07" w14:textId="77777777" w:rsidR="00F61AAE" w:rsidRPr="00F61AAE" w:rsidRDefault="00F61AAE" w:rsidP="00F61AAE">
            <w:r w:rsidRPr="00F61AAE">
              <w:t>342</w:t>
            </w:r>
          </w:p>
        </w:tc>
        <w:tc>
          <w:tcPr>
            <w:tcW w:w="16587" w:type="dxa"/>
          </w:tcPr>
          <w:p w14:paraId="45A23CDE" w14:textId="77777777" w:rsidR="00F61AAE" w:rsidRPr="00F61AAE" w:rsidRDefault="00F61AAE" w:rsidP="00F61AAE">
            <w:pPr>
              <w:rPr>
                <w:b/>
                <w:bCs/>
              </w:rPr>
            </w:pPr>
          </w:p>
          <w:p w14:paraId="7C05FD11" w14:textId="77777777" w:rsidR="00F61AAE" w:rsidRPr="00F61AAE" w:rsidRDefault="00F61AAE" w:rsidP="00F61AAE">
            <w:pPr>
              <w:rPr>
                <w:b/>
                <w:bCs/>
              </w:rPr>
            </w:pPr>
            <w:r w:rsidRPr="00F61AAE">
              <w:rPr>
                <w:b/>
                <w:bCs/>
              </w:rPr>
              <w:t xml:space="preserve">i&amp;ii) Includes 115 properties where tenants have chosen to keep their existing heating system, </w:t>
            </w:r>
          </w:p>
          <w:p w14:paraId="0CCA6F03" w14:textId="77777777" w:rsidR="00F61AAE" w:rsidRPr="00F61AAE" w:rsidRDefault="00F61AAE" w:rsidP="00F61AAE">
            <w:pPr>
              <w:rPr>
                <w:b/>
                <w:bCs/>
              </w:rPr>
            </w:pPr>
            <w:r w:rsidRPr="00F61AAE">
              <w:rPr>
                <w:b/>
                <w:bCs/>
              </w:rPr>
              <w:t xml:space="preserve">these properties are being connected to the gas network to futureproof installations </w:t>
            </w:r>
          </w:p>
          <w:p w14:paraId="4D11870D" w14:textId="77777777" w:rsidR="00F61AAE" w:rsidRPr="00F61AAE" w:rsidRDefault="00F61AAE" w:rsidP="00F61AAE">
            <w:r w:rsidRPr="00F61AAE">
              <w:rPr>
                <w:b/>
                <w:bCs/>
              </w:rPr>
              <w:t>when the current system reaches end of life.</w:t>
            </w:r>
          </w:p>
        </w:tc>
      </w:tr>
      <w:tr w:rsidR="00F61AAE" w:rsidRPr="00F61AAE" w14:paraId="2439D336" w14:textId="77777777" w:rsidTr="00F61AAE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FE810A" w14:textId="77777777" w:rsidR="00F61AAE" w:rsidRPr="00F61AAE" w:rsidRDefault="00F61AAE" w:rsidP="00F61AAE">
            <w:pPr>
              <w:numPr>
                <w:ilvl w:val="0"/>
                <w:numId w:val="8"/>
              </w:numPr>
            </w:pPr>
            <w:r w:rsidRPr="00F61AAE">
              <w:t>Number of gas connections still to be made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947EE" w14:textId="77777777" w:rsidR="00F61AAE" w:rsidRPr="00F61AAE" w:rsidRDefault="00F61AAE" w:rsidP="00F61AAE">
            <w:r w:rsidRPr="00F61AAE">
              <w:t>331</w:t>
            </w:r>
          </w:p>
        </w:tc>
        <w:tc>
          <w:tcPr>
            <w:tcW w:w="16587" w:type="dxa"/>
          </w:tcPr>
          <w:p w14:paraId="4F39537F" w14:textId="77777777" w:rsidR="00F61AAE" w:rsidRPr="00F61AAE" w:rsidRDefault="00F61AAE" w:rsidP="00F61AAE">
            <w:pPr>
              <w:rPr>
                <w:b/>
                <w:bCs/>
              </w:rPr>
            </w:pPr>
          </w:p>
          <w:p w14:paraId="65450766" w14:textId="77777777" w:rsidR="00F61AAE" w:rsidRPr="00F61AAE" w:rsidRDefault="00F61AAE" w:rsidP="00F61AAE">
            <w:pPr>
              <w:rPr>
                <w:b/>
                <w:bCs/>
              </w:rPr>
            </w:pPr>
            <w:r w:rsidRPr="00F61AAE">
              <w:rPr>
                <w:b/>
                <w:bCs/>
              </w:rPr>
              <w:t>(ii) It is anticipated the gas connections will be complete by September 2025.</w:t>
            </w:r>
          </w:p>
        </w:tc>
      </w:tr>
      <w:tr w:rsidR="00F61AAE" w:rsidRPr="00F61AAE" w14:paraId="43537FF9" w14:textId="77777777" w:rsidTr="00F61AAE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87B75" w14:textId="77777777" w:rsidR="00F61AAE" w:rsidRPr="00F61AAE" w:rsidRDefault="00F61AAE" w:rsidP="00F61AAE">
            <w:pPr>
              <w:numPr>
                <w:ilvl w:val="0"/>
                <w:numId w:val="8"/>
              </w:numPr>
            </w:pPr>
            <w:r w:rsidRPr="00F61AAE">
              <w:t>Number of gas heating systems installed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5243A" w14:textId="77777777" w:rsidR="00F61AAE" w:rsidRPr="00F61AAE" w:rsidRDefault="00F61AAE" w:rsidP="00F61AAE">
            <w:r w:rsidRPr="00F61AAE">
              <w:t>54</w:t>
            </w:r>
          </w:p>
        </w:tc>
        <w:tc>
          <w:tcPr>
            <w:tcW w:w="16587" w:type="dxa"/>
            <w:hideMark/>
          </w:tcPr>
          <w:p w14:paraId="155B8E0E" w14:textId="77777777" w:rsidR="00F61AAE" w:rsidRPr="00F61AAE" w:rsidRDefault="00F61AAE" w:rsidP="00F61AAE">
            <w:pPr>
              <w:rPr>
                <w:b/>
                <w:bCs/>
              </w:rPr>
            </w:pPr>
            <w:r w:rsidRPr="00F61AAE">
              <w:rPr>
                <w:b/>
                <w:bCs/>
              </w:rPr>
              <w:t>(iii) We require tenants to arrange the installation of a new meter directly with their own energy provider, </w:t>
            </w:r>
          </w:p>
          <w:p w14:paraId="74655F69" w14:textId="77777777" w:rsidR="00F61AAE" w:rsidRPr="00F61AAE" w:rsidRDefault="00F61AAE" w:rsidP="00F61AAE">
            <w:pPr>
              <w:rPr>
                <w:b/>
                <w:bCs/>
              </w:rPr>
            </w:pPr>
            <w:r w:rsidRPr="00F61AAE">
              <w:rPr>
                <w:b/>
                <w:bCs/>
              </w:rPr>
              <w:t xml:space="preserve">Falkirk Council are unable to facilitate this. We are using multiple platforms to increase </w:t>
            </w:r>
          </w:p>
          <w:p w14:paraId="700A456A" w14:textId="77777777" w:rsidR="00F61AAE" w:rsidRPr="00F61AAE" w:rsidRDefault="00F61AAE" w:rsidP="00F61AAE">
            <w:pPr>
              <w:rPr>
                <w:b/>
                <w:bCs/>
              </w:rPr>
            </w:pPr>
            <w:r w:rsidRPr="00F61AAE">
              <w:rPr>
                <w:b/>
                <w:bCs/>
              </w:rPr>
              <w:t>early action by our tenants, as the utility companies are proving slow to react. All properties with a meter have</w:t>
            </w:r>
          </w:p>
          <w:p w14:paraId="5515E087" w14:textId="77777777" w:rsidR="00F61AAE" w:rsidRPr="00F61AAE" w:rsidRDefault="00F61AAE" w:rsidP="00F61AAE">
            <w:pPr>
              <w:rPr>
                <w:b/>
                <w:bCs/>
              </w:rPr>
            </w:pPr>
            <w:r w:rsidRPr="00F61AAE">
              <w:rPr>
                <w:b/>
                <w:bCs/>
              </w:rPr>
              <w:t>their heating system installed or are programmed within the next 2 weeks.  </w:t>
            </w:r>
          </w:p>
        </w:tc>
      </w:tr>
      <w:tr w:rsidR="00F61AAE" w:rsidRPr="00F61AAE" w14:paraId="3DBD0BB0" w14:textId="77777777" w:rsidTr="00F61AAE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140A1" w14:textId="77777777" w:rsidR="00F61AAE" w:rsidRPr="00F61AAE" w:rsidRDefault="00F61AAE" w:rsidP="00F61AAE">
            <w:pPr>
              <w:numPr>
                <w:ilvl w:val="0"/>
                <w:numId w:val="8"/>
              </w:numPr>
            </w:pPr>
            <w:r w:rsidRPr="00F61AAE">
              <w:t>Number of Green Energy Solution systems installed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96423" w14:textId="77777777" w:rsidR="00F61AAE" w:rsidRPr="00F61AAE" w:rsidRDefault="00F61AAE" w:rsidP="00F61AAE">
            <w:r w:rsidRPr="00F61AAE">
              <w:t>68</w:t>
            </w:r>
          </w:p>
        </w:tc>
        <w:tc>
          <w:tcPr>
            <w:tcW w:w="16587" w:type="dxa"/>
          </w:tcPr>
          <w:p w14:paraId="3083721A" w14:textId="77777777" w:rsidR="00F61AAE" w:rsidRPr="00F61AAE" w:rsidRDefault="00F61AAE" w:rsidP="00F61AAE"/>
        </w:tc>
      </w:tr>
      <w:tr w:rsidR="00F61AAE" w:rsidRPr="00F61AAE" w14:paraId="0ED3138C" w14:textId="77777777" w:rsidTr="00F61AAE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63A47" w14:textId="77777777" w:rsidR="00F61AAE" w:rsidRPr="00F61AAE" w:rsidRDefault="00F61AAE" w:rsidP="00F61AAE">
            <w:pPr>
              <w:numPr>
                <w:ilvl w:val="0"/>
                <w:numId w:val="8"/>
              </w:numPr>
            </w:pPr>
            <w:r w:rsidRPr="00F61AAE">
              <w:t xml:space="preserve">Number waiting for Green Energy Solution (subject to securing </w:t>
            </w:r>
            <w:r w:rsidRPr="00F61AAE">
              <w:lastRenderedPageBreak/>
              <w:t>Scottish Government Funding)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67962" w14:textId="77777777" w:rsidR="00F61AAE" w:rsidRPr="00F61AAE" w:rsidRDefault="00F61AAE" w:rsidP="00F61AAE">
            <w:r w:rsidRPr="00F61AAE">
              <w:lastRenderedPageBreak/>
              <w:t>30</w:t>
            </w:r>
          </w:p>
        </w:tc>
        <w:tc>
          <w:tcPr>
            <w:tcW w:w="16587" w:type="dxa"/>
          </w:tcPr>
          <w:p w14:paraId="2F8B51EF" w14:textId="77777777" w:rsidR="00F61AAE" w:rsidRPr="00F61AAE" w:rsidRDefault="00F61AAE" w:rsidP="00F61AAE"/>
        </w:tc>
      </w:tr>
    </w:tbl>
    <w:p w14:paraId="166F7B3B" w14:textId="0B80CE36" w:rsidR="00093128" w:rsidRDefault="00093128" w:rsidP="00093128"/>
    <w:p w14:paraId="32031FC1" w14:textId="77777777" w:rsidR="007F6320" w:rsidRPr="00AD530A" w:rsidRDefault="007F6320" w:rsidP="007F6320">
      <w:pPr>
        <w:pStyle w:val="ListParagraph"/>
        <w:numPr>
          <w:ilvl w:val="0"/>
          <w:numId w:val="5"/>
        </w:numPr>
        <w:rPr>
          <w:b/>
          <w:bCs/>
        </w:rPr>
      </w:pPr>
      <w:r w:rsidRPr="00AD530A">
        <w:t xml:space="preserve">There is now a link on the Falkirk Council web site with financial assistance information and more: - </w:t>
      </w:r>
      <w:hyperlink r:id="rId11">
        <w:r w:rsidRPr="00AD530A">
          <w:rPr>
            <w:rStyle w:val="Hyperlink"/>
            <w:color w:val="auto"/>
          </w:rPr>
          <w:t>Benefits &amp; support - Energy grants | Falkirk Council</w:t>
        </w:r>
      </w:hyperlink>
    </w:p>
    <w:p w14:paraId="6656FBB4" w14:textId="77777777" w:rsidR="007F6320" w:rsidRDefault="007F6320" w:rsidP="00093128"/>
    <w:sectPr w:rsidR="007F6320" w:rsidSect="00CB30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zSCO7OJbajrqp" int2:id="719AtrLj">
      <int2:state int2:value="Rejected" int2:type="AugLoop_Text_Critique"/>
    </int2:textHash>
    <int2:textHash int2:hashCode="SedcFi/Nsi1it4" int2:id="EawVYx66">
      <int2:state int2:value="Rejected" int2:type="AugLoop_Text_Critique"/>
    </int2:textHash>
    <int2:textHash int2:hashCode="0v+fIRNVXroL/i" int2:id="JfIldDh0">
      <int2:state int2:value="Rejected" int2:type="AugLoop_Text_Critique"/>
    </int2:textHash>
    <int2:textHash int2:hashCode="RQ7K4UCj/TUqM8" int2:id="aBo7wjBP">
      <int2:state int2:value="Rejected" int2:type="AugLoop_Text_Critique"/>
    </int2:textHash>
    <int2:textHash int2:hashCode="0a3zS4POI4nztc" int2:id="t6ZiXbQP">
      <int2:state int2:value="Rejected" int2:type="AugLoop_Text_Critique"/>
    </int2:textHash>
    <int2:textHash int2:hashCode="8c16FFCMSTveZW" int2:id="z9PiuV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3B6F"/>
    <w:multiLevelType w:val="hybridMultilevel"/>
    <w:tmpl w:val="DCB233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25667"/>
    <w:multiLevelType w:val="hybridMultilevel"/>
    <w:tmpl w:val="03F429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08846"/>
    <w:multiLevelType w:val="hybridMultilevel"/>
    <w:tmpl w:val="170C7EEA"/>
    <w:lvl w:ilvl="0" w:tplc="37DC711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401CD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21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2B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47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EA7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82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A3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21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59F8"/>
    <w:multiLevelType w:val="hybridMultilevel"/>
    <w:tmpl w:val="34BC9C00"/>
    <w:lvl w:ilvl="0" w:tplc="0548E86C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57002"/>
    <w:multiLevelType w:val="hybridMultilevel"/>
    <w:tmpl w:val="78EC7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E303E"/>
    <w:multiLevelType w:val="hybridMultilevel"/>
    <w:tmpl w:val="10EC8F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63903"/>
    <w:multiLevelType w:val="hybridMultilevel"/>
    <w:tmpl w:val="110C7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338698">
    <w:abstractNumId w:val="2"/>
  </w:num>
  <w:num w:numId="2" w16cid:durableId="1030300605">
    <w:abstractNumId w:val="4"/>
  </w:num>
  <w:num w:numId="3" w16cid:durableId="1134711157">
    <w:abstractNumId w:val="6"/>
  </w:num>
  <w:num w:numId="4" w16cid:durableId="947732885">
    <w:abstractNumId w:val="1"/>
  </w:num>
  <w:num w:numId="5" w16cid:durableId="803156725">
    <w:abstractNumId w:val="0"/>
  </w:num>
  <w:num w:numId="6" w16cid:durableId="1716277629">
    <w:abstractNumId w:val="0"/>
  </w:num>
  <w:num w:numId="7" w16cid:durableId="558323660">
    <w:abstractNumId w:val="5"/>
  </w:num>
  <w:num w:numId="8" w16cid:durableId="2536337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28"/>
    <w:rsid w:val="00011C8E"/>
    <w:rsid w:val="000222CB"/>
    <w:rsid w:val="00042ACC"/>
    <w:rsid w:val="000923E4"/>
    <w:rsid w:val="00093128"/>
    <w:rsid w:val="000B7A5C"/>
    <w:rsid w:val="000D5CFD"/>
    <w:rsid w:val="00101912"/>
    <w:rsid w:val="001048FA"/>
    <w:rsid w:val="001339C0"/>
    <w:rsid w:val="001477F9"/>
    <w:rsid w:val="001509CA"/>
    <w:rsid w:val="001B0031"/>
    <w:rsid w:val="001C0199"/>
    <w:rsid w:val="001D4966"/>
    <w:rsid w:val="001D793A"/>
    <w:rsid w:val="001F4E73"/>
    <w:rsid w:val="00215BD7"/>
    <w:rsid w:val="002578DB"/>
    <w:rsid w:val="0026748E"/>
    <w:rsid w:val="002A6909"/>
    <w:rsid w:val="002B3CC6"/>
    <w:rsid w:val="002C4302"/>
    <w:rsid w:val="002F5194"/>
    <w:rsid w:val="003007A3"/>
    <w:rsid w:val="00316D98"/>
    <w:rsid w:val="00322A98"/>
    <w:rsid w:val="00330481"/>
    <w:rsid w:val="00340E44"/>
    <w:rsid w:val="0040055B"/>
    <w:rsid w:val="0040443E"/>
    <w:rsid w:val="0044702E"/>
    <w:rsid w:val="00466DA8"/>
    <w:rsid w:val="004B4BA8"/>
    <w:rsid w:val="004B4CA1"/>
    <w:rsid w:val="004C63AD"/>
    <w:rsid w:val="004E05E2"/>
    <w:rsid w:val="00514BE3"/>
    <w:rsid w:val="0055741E"/>
    <w:rsid w:val="00570E50"/>
    <w:rsid w:val="00587F24"/>
    <w:rsid w:val="0059C0F6"/>
    <w:rsid w:val="005A5FBE"/>
    <w:rsid w:val="005D04D5"/>
    <w:rsid w:val="005E0227"/>
    <w:rsid w:val="005F279E"/>
    <w:rsid w:val="00602327"/>
    <w:rsid w:val="00626549"/>
    <w:rsid w:val="00682534"/>
    <w:rsid w:val="00690857"/>
    <w:rsid w:val="006B563A"/>
    <w:rsid w:val="006B56EE"/>
    <w:rsid w:val="007018FE"/>
    <w:rsid w:val="007079A5"/>
    <w:rsid w:val="007173E9"/>
    <w:rsid w:val="00723141"/>
    <w:rsid w:val="00743316"/>
    <w:rsid w:val="007A5B9F"/>
    <w:rsid w:val="007C1E4F"/>
    <w:rsid w:val="007F6320"/>
    <w:rsid w:val="00806C78"/>
    <w:rsid w:val="008576B6"/>
    <w:rsid w:val="00865840"/>
    <w:rsid w:val="008759CA"/>
    <w:rsid w:val="00892C4E"/>
    <w:rsid w:val="008A0EEB"/>
    <w:rsid w:val="008B29DE"/>
    <w:rsid w:val="008C7088"/>
    <w:rsid w:val="008D4BF9"/>
    <w:rsid w:val="008F0183"/>
    <w:rsid w:val="00904E11"/>
    <w:rsid w:val="0093785D"/>
    <w:rsid w:val="00991D26"/>
    <w:rsid w:val="009B331D"/>
    <w:rsid w:val="009B6E06"/>
    <w:rsid w:val="009C1620"/>
    <w:rsid w:val="00A36DBE"/>
    <w:rsid w:val="00AC1107"/>
    <w:rsid w:val="00AC2D60"/>
    <w:rsid w:val="00AC59DA"/>
    <w:rsid w:val="00AD530A"/>
    <w:rsid w:val="00AF30E2"/>
    <w:rsid w:val="00AF465D"/>
    <w:rsid w:val="00B4499F"/>
    <w:rsid w:val="00B54C09"/>
    <w:rsid w:val="00B81240"/>
    <w:rsid w:val="00BA1B6C"/>
    <w:rsid w:val="00BA7502"/>
    <w:rsid w:val="00BD0531"/>
    <w:rsid w:val="00BD1E93"/>
    <w:rsid w:val="00BD64D1"/>
    <w:rsid w:val="00C3029D"/>
    <w:rsid w:val="00C611B1"/>
    <w:rsid w:val="00C67F07"/>
    <w:rsid w:val="00C729DE"/>
    <w:rsid w:val="00C829DC"/>
    <w:rsid w:val="00CA7D31"/>
    <w:rsid w:val="00CB30E6"/>
    <w:rsid w:val="00CC5B46"/>
    <w:rsid w:val="00CC7566"/>
    <w:rsid w:val="00CE6554"/>
    <w:rsid w:val="00D05FFE"/>
    <w:rsid w:val="00D21C4B"/>
    <w:rsid w:val="00D434F4"/>
    <w:rsid w:val="00D85C38"/>
    <w:rsid w:val="00D9030D"/>
    <w:rsid w:val="00D97F72"/>
    <w:rsid w:val="00DD6D76"/>
    <w:rsid w:val="00E869C8"/>
    <w:rsid w:val="00EA791E"/>
    <w:rsid w:val="00EB09D4"/>
    <w:rsid w:val="00EB2E35"/>
    <w:rsid w:val="00EB7ED0"/>
    <w:rsid w:val="00EE62BD"/>
    <w:rsid w:val="00EE6D58"/>
    <w:rsid w:val="00EF5A7E"/>
    <w:rsid w:val="00F33779"/>
    <w:rsid w:val="00F61AAE"/>
    <w:rsid w:val="00F83F63"/>
    <w:rsid w:val="00FB0501"/>
    <w:rsid w:val="01349900"/>
    <w:rsid w:val="0175E17C"/>
    <w:rsid w:val="01C46152"/>
    <w:rsid w:val="02BF359B"/>
    <w:rsid w:val="02CED1B6"/>
    <w:rsid w:val="02F62335"/>
    <w:rsid w:val="0316A99E"/>
    <w:rsid w:val="039C94A8"/>
    <w:rsid w:val="04067A73"/>
    <w:rsid w:val="0417D6C0"/>
    <w:rsid w:val="0472AF0C"/>
    <w:rsid w:val="051B5CE3"/>
    <w:rsid w:val="06EBC5D6"/>
    <w:rsid w:val="06EE6A12"/>
    <w:rsid w:val="07432429"/>
    <w:rsid w:val="07440C29"/>
    <w:rsid w:val="0783EC3A"/>
    <w:rsid w:val="080098BD"/>
    <w:rsid w:val="080E69D1"/>
    <w:rsid w:val="0830A181"/>
    <w:rsid w:val="084F5A14"/>
    <w:rsid w:val="09981C16"/>
    <w:rsid w:val="09DDD9C2"/>
    <w:rsid w:val="0B3E2D1A"/>
    <w:rsid w:val="0B452CC4"/>
    <w:rsid w:val="0B937930"/>
    <w:rsid w:val="0BBA726A"/>
    <w:rsid w:val="0BCF33F4"/>
    <w:rsid w:val="0C045E31"/>
    <w:rsid w:val="0C67D172"/>
    <w:rsid w:val="0D44418A"/>
    <w:rsid w:val="0D50EF35"/>
    <w:rsid w:val="0DDC847C"/>
    <w:rsid w:val="0E2902A1"/>
    <w:rsid w:val="0E2F404B"/>
    <w:rsid w:val="0E6306DC"/>
    <w:rsid w:val="0F9BF6C6"/>
    <w:rsid w:val="0FCB10AC"/>
    <w:rsid w:val="1052F94D"/>
    <w:rsid w:val="10B6E619"/>
    <w:rsid w:val="10D29DC0"/>
    <w:rsid w:val="11CA586B"/>
    <w:rsid w:val="11CE0BA3"/>
    <w:rsid w:val="1337471E"/>
    <w:rsid w:val="145841DA"/>
    <w:rsid w:val="14BC5863"/>
    <w:rsid w:val="153EA3CF"/>
    <w:rsid w:val="159F835A"/>
    <w:rsid w:val="163BB57C"/>
    <w:rsid w:val="16E24B91"/>
    <w:rsid w:val="1747D241"/>
    <w:rsid w:val="180D2617"/>
    <w:rsid w:val="184156B0"/>
    <w:rsid w:val="18B84B60"/>
    <w:rsid w:val="1916B06C"/>
    <w:rsid w:val="19B64FB2"/>
    <w:rsid w:val="1A4CD7FB"/>
    <w:rsid w:val="1A7099F1"/>
    <w:rsid w:val="1A7F7303"/>
    <w:rsid w:val="1AE42761"/>
    <w:rsid w:val="1B40CA6A"/>
    <w:rsid w:val="1BCAADF0"/>
    <w:rsid w:val="1BFB5F72"/>
    <w:rsid w:val="1CDFA546"/>
    <w:rsid w:val="1D277A0C"/>
    <w:rsid w:val="1D4432CC"/>
    <w:rsid w:val="1D956921"/>
    <w:rsid w:val="1DABAD9B"/>
    <w:rsid w:val="1DD5F222"/>
    <w:rsid w:val="1E389B20"/>
    <w:rsid w:val="1E7B8AED"/>
    <w:rsid w:val="1EA7147D"/>
    <w:rsid w:val="1EB1950F"/>
    <w:rsid w:val="1FB86928"/>
    <w:rsid w:val="1FBBB91C"/>
    <w:rsid w:val="20B5CCF9"/>
    <w:rsid w:val="21A3CCE5"/>
    <w:rsid w:val="226F624F"/>
    <w:rsid w:val="2349638B"/>
    <w:rsid w:val="23D50065"/>
    <w:rsid w:val="242DE246"/>
    <w:rsid w:val="2432AED4"/>
    <w:rsid w:val="24DF43FD"/>
    <w:rsid w:val="261493E7"/>
    <w:rsid w:val="2661B6C3"/>
    <w:rsid w:val="26745052"/>
    <w:rsid w:val="27729C13"/>
    <w:rsid w:val="278C28EB"/>
    <w:rsid w:val="27B71FC6"/>
    <w:rsid w:val="27C027F6"/>
    <w:rsid w:val="27E17C02"/>
    <w:rsid w:val="280B75F1"/>
    <w:rsid w:val="2815E0AF"/>
    <w:rsid w:val="2850F90B"/>
    <w:rsid w:val="2882B73E"/>
    <w:rsid w:val="296D1A78"/>
    <w:rsid w:val="299E2AA2"/>
    <w:rsid w:val="29FA5285"/>
    <w:rsid w:val="2A098D77"/>
    <w:rsid w:val="2A100737"/>
    <w:rsid w:val="2A366D70"/>
    <w:rsid w:val="2A62B152"/>
    <w:rsid w:val="2AA0C671"/>
    <w:rsid w:val="2ADD662F"/>
    <w:rsid w:val="2B23E71D"/>
    <w:rsid w:val="2B362485"/>
    <w:rsid w:val="2B703163"/>
    <w:rsid w:val="2B94EBA7"/>
    <w:rsid w:val="2BA9F9ED"/>
    <w:rsid w:val="2BB288A6"/>
    <w:rsid w:val="2BE4F4AF"/>
    <w:rsid w:val="2C3D9082"/>
    <w:rsid w:val="2CE10306"/>
    <w:rsid w:val="2CE24516"/>
    <w:rsid w:val="2D0C01C4"/>
    <w:rsid w:val="2D0CC7CE"/>
    <w:rsid w:val="2D23A669"/>
    <w:rsid w:val="2D412E39"/>
    <w:rsid w:val="2EDCFE9A"/>
    <w:rsid w:val="2FC04773"/>
    <w:rsid w:val="306754BA"/>
    <w:rsid w:val="3068839C"/>
    <w:rsid w:val="30BFC962"/>
    <w:rsid w:val="31085B16"/>
    <w:rsid w:val="3116E394"/>
    <w:rsid w:val="315F12C5"/>
    <w:rsid w:val="31987DD9"/>
    <w:rsid w:val="32538628"/>
    <w:rsid w:val="33BD9272"/>
    <w:rsid w:val="34512818"/>
    <w:rsid w:val="34C7A392"/>
    <w:rsid w:val="34E936D0"/>
    <w:rsid w:val="34F3D06E"/>
    <w:rsid w:val="350506BE"/>
    <w:rsid w:val="351713A9"/>
    <w:rsid w:val="356F4F4B"/>
    <w:rsid w:val="35A563F9"/>
    <w:rsid w:val="35D803F9"/>
    <w:rsid w:val="368C6273"/>
    <w:rsid w:val="36E383D7"/>
    <w:rsid w:val="36FD9571"/>
    <w:rsid w:val="37167676"/>
    <w:rsid w:val="37D4EF2B"/>
    <w:rsid w:val="38881AB6"/>
    <w:rsid w:val="3941FCF4"/>
    <w:rsid w:val="39B1961E"/>
    <w:rsid w:val="3A12C0B4"/>
    <w:rsid w:val="3A1B32E1"/>
    <w:rsid w:val="3A62301E"/>
    <w:rsid w:val="3AA68912"/>
    <w:rsid w:val="3AB7389F"/>
    <w:rsid w:val="3AC571B9"/>
    <w:rsid w:val="3B3F7AA8"/>
    <w:rsid w:val="3B862FF6"/>
    <w:rsid w:val="3BDF8A93"/>
    <w:rsid w:val="3C8225D3"/>
    <w:rsid w:val="3CCC2559"/>
    <w:rsid w:val="3CD7A55B"/>
    <w:rsid w:val="3CFCED59"/>
    <w:rsid w:val="3D5130D6"/>
    <w:rsid w:val="3D7BFF56"/>
    <w:rsid w:val="3F4C463F"/>
    <w:rsid w:val="3FB0CEAE"/>
    <w:rsid w:val="40346A99"/>
    <w:rsid w:val="4063C285"/>
    <w:rsid w:val="40AB3D51"/>
    <w:rsid w:val="40E76AE5"/>
    <w:rsid w:val="40E816A0"/>
    <w:rsid w:val="4115FCE2"/>
    <w:rsid w:val="41B25516"/>
    <w:rsid w:val="421D21F7"/>
    <w:rsid w:val="429C27EC"/>
    <w:rsid w:val="435AD1FA"/>
    <w:rsid w:val="4380A03B"/>
    <w:rsid w:val="43C5D17F"/>
    <w:rsid w:val="43DA1824"/>
    <w:rsid w:val="4427A4E8"/>
    <w:rsid w:val="447D9C63"/>
    <w:rsid w:val="45165AF6"/>
    <w:rsid w:val="45C2C414"/>
    <w:rsid w:val="464ECD61"/>
    <w:rsid w:val="46962259"/>
    <w:rsid w:val="46AF4AB6"/>
    <w:rsid w:val="4784EFF9"/>
    <w:rsid w:val="48C36E16"/>
    <w:rsid w:val="491C505D"/>
    <w:rsid w:val="49FC0B8C"/>
    <w:rsid w:val="4A1C1855"/>
    <w:rsid w:val="4A67ECFA"/>
    <w:rsid w:val="4ADB432C"/>
    <w:rsid w:val="4AE155F7"/>
    <w:rsid w:val="4C32B6CD"/>
    <w:rsid w:val="4CAC4002"/>
    <w:rsid w:val="4CD084A0"/>
    <w:rsid w:val="4D8E906D"/>
    <w:rsid w:val="4D93CF10"/>
    <w:rsid w:val="4E41C154"/>
    <w:rsid w:val="4EFEB49F"/>
    <w:rsid w:val="4F02C78B"/>
    <w:rsid w:val="50BABF12"/>
    <w:rsid w:val="510627F0"/>
    <w:rsid w:val="51337129"/>
    <w:rsid w:val="514687D8"/>
    <w:rsid w:val="51B2C7F2"/>
    <w:rsid w:val="5256331F"/>
    <w:rsid w:val="5323D3FD"/>
    <w:rsid w:val="53317B0C"/>
    <w:rsid w:val="539BCC47"/>
    <w:rsid w:val="539FE47C"/>
    <w:rsid w:val="54528585"/>
    <w:rsid w:val="54D39C73"/>
    <w:rsid w:val="54FED644"/>
    <w:rsid w:val="55B70855"/>
    <w:rsid w:val="566F6CD4"/>
    <w:rsid w:val="569AA6A5"/>
    <w:rsid w:val="576DBDC2"/>
    <w:rsid w:val="57DDF34F"/>
    <w:rsid w:val="57E67F12"/>
    <w:rsid w:val="57FA07E9"/>
    <w:rsid w:val="5821ECF8"/>
    <w:rsid w:val="58712C41"/>
    <w:rsid w:val="58B6FEA9"/>
    <w:rsid w:val="58EE5FB7"/>
    <w:rsid w:val="5992B090"/>
    <w:rsid w:val="59D31067"/>
    <w:rsid w:val="59EBD46B"/>
    <w:rsid w:val="59FA9973"/>
    <w:rsid w:val="5A3D5112"/>
    <w:rsid w:val="5A71CB3A"/>
    <w:rsid w:val="5A93C95E"/>
    <w:rsid w:val="5B42DDF7"/>
    <w:rsid w:val="5B6D3446"/>
    <w:rsid w:val="5B6E17C8"/>
    <w:rsid w:val="5BB9A1C0"/>
    <w:rsid w:val="5BE8FC94"/>
    <w:rsid w:val="5CDEAE58"/>
    <w:rsid w:val="5CE43B2E"/>
    <w:rsid w:val="5D53C89C"/>
    <w:rsid w:val="5D80FA4A"/>
    <w:rsid w:val="5DE61998"/>
    <w:rsid w:val="5DE8141C"/>
    <w:rsid w:val="5E6621B3"/>
    <w:rsid w:val="5E7FDFA1"/>
    <w:rsid w:val="5EA65A58"/>
    <w:rsid w:val="5FA7B12B"/>
    <w:rsid w:val="5FAAFA6C"/>
    <w:rsid w:val="5FB2E699"/>
    <w:rsid w:val="603816FC"/>
    <w:rsid w:val="60928545"/>
    <w:rsid w:val="6092A1C8"/>
    <w:rsid w:val="60A0E26D"/>
    <w:rsid w:val="60B2AE3C"/>
    <w:rsid w:val="611CF613"/>
    <w:rsid w:val="61C7733A"/>
    <w:rsid w:val="6232EE95"/>
    <w:rsid w:val="623D4ED4"/>
    <w:rsid w:val="62E1DEC0"/>
    <w:rsid w:val="636A501C"/>
    <w:rsid w:val="639637CF"/>
    <w:rsid w:val="6608BD01"/>
    <w:rsid w:val="662C4CB6"/>
    <w:rsid w:val="66594FD6"/>
    <w:rsid w:val="6689157A"/>
    <w:rsid w:val="67004201"/>
    <w:rsid w:val="67A0DC11"/>
    <w:rsid w:val="686627D4"/>
    <w:rsid w:val="68F9E860"/>
    <w:rsid w:val="6B7BA7D0"/>
    <w:rsid w:val="6B84A039"/>
    <w:rsid w:val="6CA68327"/>
    <w:rsid w:val="6CFD45F5"/>
    <w:rsid w:val="6D20709A"/>
    <w:rsid w:val="6D4ED859"/>
    <w:rsid w:val="6D61E479"/>
    <w:rsid w:val="6F017CCA"/>
    <w:rsid w:val="6F10FB97"/>
    <w:rsid w:val="6F3648FE"/>
    <w:rsid w:val="6FAC4206"/>
    <w:rsid w:val="6FBCC2B2"/>
    <w:rsid w:val="6FC76228"/>
    <w:rsid w:val="6FD3FA49"/>
    <w:rsid w:val="6FE2A7F4"/>
    <w:rsid w:val="7047C00F"/>
    <w:rsid w:val="704E375F"/>
    <w:rsid w:val="7103E8CB"/>
    <w:rsid w:val="713F3852"/>
    <w:rsid w:val="71F05F52"/>
    <w:rsid w:val="7241BAC8"/>
    <w:rsid w:val="725100DA"/>
    <w:rsid w:val="729BFE03"/>
    <w:rsid w:val="72A48146"/>
    <w:rsid w:val="732C4CCA"/>
    <w:rsid w:val="7332F375"/>
    <w:rsid w:val="737E12A0"/>
    <w:rsid w:val="73ACE675"/>
    <w:rsid w:val="75B59521"/>
    <w:rsid w:val="75E931FF"/>
    <w:rsid w:val="7657A3B4"/>
    <w:rsid w:val="77DD4FEF"/>
    <w:rsid w:val="788915B7"/>
    <w:rsid w:val="78897829"/>
    <w:rsid w:val="78BB90FA"/>
    <w:rsid w:val="7936E231"/>
    <w:rsid w:val="7976A459"/>
    <w:rsid w:val="7A00ADE2"/>
    <w:rsid w:val="7A9B5A82"/>
    <w:rsid w:val="7B9AC403"/>
    <w:rsid w:val="7C8A7FD5"/>
    <w:rsid w:val="7CC5EBC8"/>
    <w:rsid w:val="7CF590B4"/>
    <w:rsid w:val="7DA9201B"/>
    <w:rsid w:val="7DAA3E63"/>
    <w:rsid w:val="7DAFA7FA"/>
    <w:rsid w:val="7E0407A7"/>
    <w:rsid w:val="7EE17E6A"/>
    <w:rsid w:val="7F498C6B"/>
    <w:rsid w:val="7F53294B"/>
    <w:rsid w:val="7F7FD1B2"/>
    <w:rsid w:val="7FA98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6F77D"/>
  <w15:chartTrackingRefBased/>
  <w15:docId w15:val="{63A08FA9-6F78-4D60-8869-2DA905DF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093128"/>
    <w:pPr>
      <w:ind w:left="720"/>
      <w:contextualSpacing/>
    </w:p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93128"/>
  </w:style>
  <w:style w:type="character" w:styleId="Hyperlink">
    <w:name w:val="Hyperlink"/>
    <w:basedOn w:val="DefaultParagraphFont"/>
    <w:uiPriority w:val="99"/>
    <w:unhideWhenUsed/>
    <w:rsid w:val="008F01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8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49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lkirk.gov.uk/services/benefits-support/energy-grants.aspx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forms.office.com/pages/responsepage.aspx?id=5phJElssTk6c7uDzl6GMDtK_sUBcimhNsmHilEPIId1UMENaMzlRMElYQ1VYV0ZHR0FNN05NSlhUMS4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gn.co.uk/our-gas-works/major-planned-projects/falkirk-gas-main-extension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2c3af4-7a9a-4ea7-a9dd-5ca742d82ec7">
      <UserInfo>
        <DisplayName>Paul Mclay</DisplayName>
        <AccountId>11</AccountId>
        <AccountType/>
      </UserInfo>
      <UserInfo>
        <DisplayName>Moira Fitzsimmons</DisplayName>
        <AccountId>12</AccountId>
        <AccountType/>
      </UserInfo>
      <UserInfo>
        <DisplayName>Linda Davis</DisplayName>
        <AccountId>17</AccountId>
        <AccountType/>
      </UserInfo>
      <UserInfo>
        <DisplayName>Alan Christie</DisplayName>
        <AccountId>13</AccountId>
        <AccountType/>
      </UserInfo>
      <UserInfo>
        <DisplayName>Brian Lapsley</DisplayName>
        <AccountId>26</AccountId>
        <AccountType/>
      </UserInfo>
      <UserInfo>
        <DisplayName>Stephen Gow</DisplayName>
        <AccountId>21</AccountId>
        <AccountType/>
      </UserInfo>
      <UserInfo>
        <DisplayName>Jamie Kellas</DisplayName>
        <AccountId>19</AccountId>
        <AccountType/>
      </UserInfo>
      <UserInfo>
        <DisplayName>Daniel Hughes</DisplayName>
        <AccountId>53</AccountId>
        <AccountType/>
      </UserInfo>
      <UserInfo>
        <DisplayName>Steve Bentley</DisplayName>
        <AccountId>67</AccountId>
        <AccountType/>
      </UserInfo>
      <UserInfo>
        <DisplayName>Annemarie Neilson</DisplayName>
        <AccountId>51</AccountId>
        <AccountType/>
      </UserInfo>
      <UserInfo>
        <DisplayName>Carole Glass</DisplayName>
        <AccountId>18</AccountId>
        <AccountType/>
      </UserInfo>
      <UserInfo>
        <DisplayName>Jackie Anderson</DisplayName>
        <AccountId>34</AccountId>
        <AccountType/>
      </UserInfo>
      <UserInfo>
        <DisplayName>Fraser Mcnairney</DisplayName>
        <AccountId>64</AccountId>
        <AccountType/>
      </UserInfo>
      <UserInfo>
        <DisplayName>Natalie Moore Young</DisplayName>
        <AccountId>30</AccountId>
        <AccountType/>
      </UserInfo>
      <UserInfo>
        <DisplayName>Paul Ferguson</DisplayName>
        <AccountId>68</AccountId>
        <AccountType/>
      </UserInfo>
      <UserInfo>
        <DisplayName>Daniel Keast</DisplayName>
        <AccountId>15</AccountId>
        <AccountType/>
      </UserInfo>
      <UserInfo>
        <DisplayName>Sally Buchanan</DisplayName>
        <AccountId>39</AccountId>
        <AccountType/>
      </UserInfo>
      <UserInfo>
        <DisplayName>Richard McFarlane</DisplayName>
        <AccountId>70</AccountId>
        <AccountType/>
      </UserInfo>
      <UserInfo>
        <DisplayName>John Kerr</DisplayName>
        <AccountId>71</AccountId>
        <AccountType/>
      </UserInfo>
      <UserInfo>
        <DisplayName>Shirley Ritchie</DisplayName>
        <AccountId>72</AccountId>
        <AccountType/>
      </UserInfo>
    </SharedWithUsers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E9A78BA5-0328-41AA-A45A-DDE251352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1EA86-5572-44CD-B1B7-13342AFE7495}"/>
</file>

<file path=customXml/itemProps3.xml><?xml version="1.0" encoding="utf-8"?>
<ds:datastoreItem xmlns:ds="http://schemas.openxmlformats.org/officeDocument/2006/customXml" ds:itemID="{7C30C0C0-2F3A-4557-BC8A-4102BAB29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9D4125-EDB9-4418-BE35-B2FAAA998D89}">
  <ds:schemaRefs>
    <ds:schemaRef ds:uri="http://schemas.microsoft.com/office/2006/metadata/properties"/>
    <ds:schemaRef ds:uri="http://schemas.microsoft.com/office/infopath/2007/PartnerControls"/>
    <ds:schemaRef ds:uri="23b8c991-66d7-4f8e-9c88-a929d70ba6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649</Words>
  <Characters>3703</Characters>
  <Application>Microsoft Office Word</Application>
  <DocSecurity>4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Keast</dc:creator>
  <cp:keywords/>
  <dc:description/>
  <cp:lastModifiedBy>Carole Glass</cp:lastModifiedBy>
  <cp:revision>2</cp:revision>
  <dcterms:created xsi:type="dcterms:W3CDTF">2025-06-04T13:58:00Z</dcterms:created>
  <dcterms:modified xsi:type="dcterms:W3CDTF">2025-06-04T13:58:00Z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